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spacing w:before="0" w:after="0"/>
        <w:jc w:val="center"/>
        <w:rPr>
          <w:rFonts w:ascii="Times New Roman" w:hAnsi="黑体" w:eastAsia="黑体"/>
          <w:sz w:val="44"/>
          <w:szCs w:val="44"/>
        </w:rPr>
      </w:pPr>
    </w:p>
    <w:p/>
    <w:p>
      <w:pPr>
        <w:pStyle w:val="12"/>
        <w:spacing w:before="0" w:after="0"/>
        <w:jc w:val="center"/>
        <w:rPr>
          <w:rFonts w:ascii="Times New Roman"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hint="eastAsia" w:ascii="Times New Roman" w:hAnsi="黑体" w:eastAsia="黑体"/>
          <w:b/>
          <w:bCs/>
          <w:caps/>
          <w:sz w:val="44"/>
          <w:szCs w:val="44"/>
        </w:rPr>
      </w:pPr>
      <w:bookmarkStart w:id="0" w:name="_Hlk36659540"/>
      <w:r>
        <w:rPr>
          <w:rFonts w:hint="eastAsia" w:ascii="Times New Roman" w:hAnsi="黑体" w:eastAsia="黑体"/>
          <w:b/>
          <w:bCs/>
          <w:caps/>
          <w:sz w:val="44"/>
          <w:szCs w:val="44"/>
        </w:rPr>
        <w:t>甘肃湛昌矿业有限责任公司</w:t>
      </w:r>
      <w:r>
        <w:rPr>
          <w:rFonts w:hint="eastAsia" w:ascii="Times New Roman" w:hAnsi="黑体" w:eastAsia="黑体"/>
          <w:b/>
          <w:bCs/>
          <w:caps/>
          <w:sz w:val="44"/>
          <w:szCs w:val="44"/>
          <w:lang w:val="en-US" w:eastAsia="zh-CN"/>
        </w:rPr>
        <w:t>甘肃省</w:t>
      </w:r>
      <w:r>
        <w:rPr>
          <w:rFonts w:hint="eastAsia" w:ascii="Times New Roman" w:hAnsi="黑体" w:eastAsia="黑体"/>
          <w:b/>
          <w:bCs/>
          <w:caps/>
          <w:sz w:val="44"/>
          <w:szCs w:val="44"/>
        </w:rPr>
        <w:t>玉门市车路沟大坂金矿开发项目</w:t>
      </w:r>
    </w:p>
    <w:bookmarkEnd w:id="0"/>
    <w:p>
      <w:pPr>
        <w:keepNext w:val="0"/>
        <w:keepLines w:val="0"/>
        <w:pageBreakBefore w:val="0"/>
        <w:widowControl w:val="0"/>
        <w:kinsoku/>
        <w:wordWrap/>
        <w:overflowPunct/>
        <w:topLinePunct w:val="0"/>
        <w:autoSpaceDE/>
        <w:autoSpaceDN/>
        <w:bidi w:val="0"/>
        <w:adjustRightInd/>
        <w:snapToGrid/>
        <w:spacing w:before="157" w:beforeLines="50" w:line="720" w:lineRule="auto"/>
        <w:jc w:val="center"/>
        <w:textAlignment w:val="auto"/>
        <w:rPr>
          <w:rFonts w:hint="default" w:eastAsia="黑体"/>
          <w:sz w:val="52"/>
          <w:szCs w:val="52"/>
          <w:lang w:val="en-US" w:eastAsia="zh-CN"/>
        </w:rPr>
      </w:pPr>
      <w:r>
        <w:rPr>
          <w:rFonts w:hint="eastAsia" w:ascii="Times New Roman" w:hAnsi="黑体" w:eastAsia="黑体"/>
          <w:b/>
          <w:bCs/>
          <w:caps/>
          <w:sz w:val="52"/>
          <w:szCs w:val="52"/>
        </w:rPr>
        <w:t>环境影响评价公众参与说明</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ascii="Times New Roman"/>
        </w:rPr>
      </w:pPr>
      <w:r>
        <w:rPr>
          <w:rFonts w:ascii="Times New Roman"/>
        </w:rPr>
        <w:t xml:space="preserve"> </w:t>
      </w:r>
    </w:p>
    <w:p>
      <w:pPr>
        <w:jc w:val="center"/>
        <w:rPr>
          <w:rFonts w:ascii="Times New Roman"/>
          <w:sz w:val="32"/>
          <w:szCs w:val="32"/>
        </w:rPr>
      </w:pPr>
      <w:r>
        <w:rPr>
          <w:rFonts w:ascii="Times New Roman"/>
          <w:sz w:val="32"/>
          <w:szCs w:val="32"/>
        </w:rPr>
        <w:t xml:space="preserve"> </w:t>
      </w:r>
    </w:p>
    <w:p>
      <w:pPr>
        <w:jc w:val="center"/>
        <w:rPr>
          <w:rFonts w:ascii="Times New Roman"/>
          <w:sz w:val="32"/>
          <w:szCs w:val="32"/>
        </w:rPr>
      </w:pPr>
      <w:r>
        <w:rPr>
          <w:rFonts w:ascii="Times New Roman"/>
          <w:sz w:val="32"/>
          <w:szCs w:val="32"/>
        </w:rPr>
        <w:t xml:space="preserve"> </w:t>
      </w:r>
    </w:p>
    <w:p>
      <w:pPr>
        <w:jc w:val="center"/>
        <w:rPr>
          <w:rFonts w:ascii="Times New Roman"/>
          <w:sz w:val="32"/>
          <w:szCs w:val="32"/>
        </w:rPr>
      </w:pPr>
      <w:r>
        <w:rPr>
          <w:rFonts w:ascii="Times New Roman"/>
          <w:sz w:val="32"/>
          <w:szCs w:val="32"/>
        </w:rPr>
        <w:t xml:space="preserve"> </w:t>
      </w:r>
    </w:p>
    <w:p>
      <w:pPr>
        <w:jc w:val="center"/>
        <w:rPr>
          <w:rFonts w:ascii="Times New Roman"/>
          <w:sz w:val="32"/>
          <w:szCs w:val="32"/>
        </w:rPr>
      </w:pPr>
      <w:r>
        <w:rPr>
          <w:rFonts w:ascii="Times New Roman"/>
          <w:sz w:val="32"/>
          <w:szCs w:val="32"/>
        </w:rPr>
        <w:t xml:space="preserve"> </w:t>
      </w:r>
    </w:p>
    <w:p>
      <w:pPr>
        <w:jc w:val="center"/>
        <w:rPr>
          <w:rFonts w:ascii="Times New Roman"/>
          <w:sz w:val="32"/>
          <w:szCs w:val="32"/>
        </w:rPr>
      </w:pPr>
      <w:r>
        <w:rPr>
          <w:rFonts w:ascii="Times New Roman"/>
          <w:sz w:val="32"/>
          <w:szCs w:val="32"/>
        </w:rPr>
        <w:t xml:space="preserve"> </w:t>
      </w:r>
    </w:p>
    <w:p>
      <w:pPr>
        <w:jc w:val="center"/>
        <w:rPr>
          <w:rFonts w:ascii="Times New Roman"/>
          <w:sz w:val="32"/>
          <w:szCs w:val="32"/>
        </w:rPr>
      </w:pPr>
    </w:p>
    <w:p>
      <w:pPr>
        <w:jc w:val="center"/>
        <w:rPr>
          <w:rFonts w:ascii="Times New Roman"/>
          <w:sz w:val="32"/>
          <w:szCs w:val="32"/>
        </w:rPr>
      </w:pPr>
    </w:p>
    <w:p>
      <w:pPr>
        <w:pStyle w:val="20"/>
        <w:ind w:firstLine="640"/>
        <w:rPr>
          <w:sz w:val="32"/>
          <w:szCs w:val="32"/>
        </w:rPr>
      </w:pPr>
    </w:p>
    <w:p>
      <w:pPr>
        <w:pStyle w:val="20"/>
        <w:ind w:firstLine="640"/>
        <w:rPr>
          <w:sz w:val="32"/>
          <w:szCs w:val="32"/>
        </w:rPr>
      </w:pPr>
    </w:p>
    <w:p>
      <w:pPr>
        <w:pStyle w:val="20"/>
        <w:ind w:firstLine="640"/>
        <w:rPr>
          <w:sz w:val="32"/>
          <w:szCs w:val="32"/>
        </w:rPr>
      </w:pPr>
    </w:p>
    <w:p>
      <w:pPr>
        <w:jc w:val="center"/>
        <w:rPr>
          <w:rFonts w:ascii="Times New Roman"/>
          <w:sz w:val="32"/>
          <w:szCs w:val="32"/>
        </w:rPr>
      </w:pPr>
      <w:r>
        <w:rPr>
          <w:rFonts w:ascii="Times New Roman"/>
          <w:sz w:val="32"/>
          <w:szCs w:val="32"/>
        </w:rPr>
        <w:t xml:space="preserve"> </w:t>
      </w:r>
    </w:p>
    <w:p>
      <w:pPr>
        <w:jc w:val="center"/>
        <w:rPr>
          <w:rFonts w:ascii="Times New Roman" w:hAnsi="宋体"/>
          <w:b/>
          <w:bCs/>
          <w:sz w:val="32"/>
          <w:szCs w:val="32"/>
        </w:rPr>
      </w:pPr>
      <w:r>
        <w:rPr>
          <w:rFonts w:hint="eastAsia" w:ascii="Times New Roman" w:hAnsi="宋体"/>
          <w:b/>
          <w:bCs/>
          <w:sz w:val="32"/>
          <w:szCs w:val="32"/>
        </w:rPr>
        <w:t>甘肃湛昌矿业有限责任公</w:t>
      </w:r>
      <w:r>
        <w:rPr>
          <w:rFonts w:ascii="Times New Roman" w:hAnsi="宋体"/>
          <w:b/>
          <w:bCs/>
          <w:sz w:val="32"/>
          <w:szCs w:val="32"/>
        </w:rPr>
        <w:t>司</w:t>
      </w:r>
    </w:p>
    <w:p>
      <w:pPr>
        <w:jc w:val="center"/>
        <w:rPr>
          <w:rFonts w:ascii="Times New Roman" w:hAnsi="宋体"/>
          <w:b/>
          <w:bCs/>
          <w:sz w:val="32"/>
          <w:szCs w:val="32"/>
        </w:rPr>
      </w:pPr>
      <w:r>
        <w:rPr>
          <w:rFonts w:ascii="Times New Roman" w:hAnsi="宋体"/>
          <w:b/>
          <w:bCs/>
          <w:sz w:val="32"/>
          <w:szCs w:val="32"/>
        </w:rPr>
        <w:t>二零</w:t>
      </w:r>
      <w:r>
        <w:rPr>
          <w:rFonts w:hint="eastAsia" w:ascii="Times New Roman" w:hAnsi="宋体"/>
          <w:b/>
          <w:bCs/>
          <w:sz w:val="32"/>
          <w:szCs w:val="32"/>
        </w:rPr>
        <w:t>二</w:t>
      </w:r>
      <w:r>
        <w:rPr>
          <w:rFonts w:hint="eastAsia" w:ascii="Times New Roman" w:hAnsi="宋体"/>
          <w:b/>
          <w:bCs/>
          <w:sz w:val="32"/>
          <w:szCs w:val="32"/>
          <w:lang w:val="en-US" w:eastAsia="zh-CN"/>
        </w:rPr>
        <w:t>三</w:t>
      </w:r>
      <w:r>
        <w:rPr>
          <w:rFonts w:ascii="Times New Roman" w:hAnsi="宋体"/>
          <w:b/>
          <w:bCs/>
          <w:sz w:val="32"/>
          <w:szCs w:val="32"/>
        </w:rPr>
        <w:t>年</w:t>
      </w:r>
      <w:r>
        <w:rPr>
          <w:rFonts w:hint="eastAsia" w:ascii="Times New Roman" w:hAnsi="宋体"/>
          <w:b/>
          <w:bCs/>
          <w:sz w:val="32"/>
          <w:szCs w:val="32"/>
          <w:lang w:val="en-US" w:eastAsia="zh-CN"/>
        </w:rPr>
        <w:t>十一</w:t>
      </w:r>
      <w:r>
        <w:rPr>
          <w:rFonts w:ascii="Times New Roman" w:hAnsi="宋体"/>
          <w:b/>
          <w:bCs/>
          <w:sz w:val="32"/>
          <w:szCs w:val="32"/>
        </w:rPr>
        <w:t>月</w:t>
      </w:r>
      <w:r>
        <w:rPr>
          <w:rFonts w:ascii="Times New Roman" w:hAnsi="宋体"/>
          <w:b/>
          <w:bCs/>
          <w:sz w:val="32"/>
          <w:szCs w:val="32"/>
        </w:rPr>
        <w:br w:type="page"/>
      </w:r>
    </w:p>
    <w:p>
      <w:pPr>
        <w:spacing w:line="360" w:lineRule="auto"/>
        <w:jc w:val="center"/>
        <w:outlineLvl w:val="0"/>
        <w:rPr>
          <w:rFonts w:ascii="Times New Roman" w:eastAsiaTheme="majorEastAsia"/>
          <w:b/>
          <w:kern w:val="2"/>
          <w:sz w:val="48"/>
          <w:szCs w:val="48"/>
        </w:rPr>
      </w:pPr>
      <w:r>
        <w:rPr>
          <w:rFonts w:hint="eastAsia" w:ascii="Times New Roman" w:eastAsiaTheme="majorEastAsia"/>
          <w:b/>
          <w:kern w:val="2"/>
          <w:sz w:val="48"/>
          <w:szCs w:val="48"/>
        </w:rPr>
        <w:t>环境影响评价公众参与说明</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jc w:val="left"/>
        <w:textAlignment w:val="auto"/>
        <w:outlineLvl w:val="0"/>
        <w:rPr>
          <w:rFonts w:ascii="Times New Roman" w:eastAsiaTheme="majorEastAsia"/>
          <w:b/>
          <w:kern w:val="2"/>
          <w:sz w:val="28"/>
          <w:szCs w:val="28"/>
        </w:rPr>
      </w:pPr>
      <w:r>
        <w:rPr>
          <w:rFonts w:ascii="Times New Roman" w:eastAsiaTheme="majorEastAsia"/>
          <w:b/>
          <w:kern w:val="2"/>
          <w:sz w:val="28"/>
          <w:szCs w:val="28"/>
        </w:rPr>
        <w:t>概述</w:t>
      </w:r>
    </w:p>
    <w:p>
      <w:pPr>
        <w:pStyle w:val="2"/>
        <w:spacing w:before="0" w:after="0" w:line="360" w:lineRule="auto"/>
        <w:contextualSpacing/>
        <w:rPr>
          <w:rFonts w:ascii="Times New Roman" w:hAnsi="Times New Roman" w:eastAsiaTheme="majorEastAsia"/>
          <w:color w:val="000000"/>
        </w:rPr>
      </w:pPr>
      <w:r>
        <w:rPr>
          <w:rFonts w:ascii="Times New Roman" w:hAnsi="Times New Roman" w:eastAsiaTheme="minorEastAsia"/>
          <w:color w:val="000000"/>
          <w:sz w:val="24"/>
        </w:rPr>
        <w:t>1.1项目名称、建设性质及其建设单位</w:t>
      </w:r>
      <w:r>
        <w:rPr>
          <w:rFonts w:ascii="Times New Roman" w:hAnsi="Times New Roman" w:eastAsiaTheme="majorEastAsia"/>
          <w:color w:val="000000"/>
        </w:rPr>
        <w:tab/>
      </w:r>
    </w:p>
    <w:p>
      <w:pPr>
        <w:spacing w:line="360" w:lineRule="auto"/>
        <w:ind w:firstLine="480" w:firstLineChars="200"/>
        <w:rPr>
          <w:rFonts w:ascii="Times New Roman"/>
          <w:color w:val="000000"/>
        </w:rPr>
      </w:pPr>
      <w:r>
        <w:rPr>
          <w:rFonts w:ascii="Times New Roman" w:hAnsi="宋体"/>
          <w:color w:val="000000"/>
        </w:rPr>
        <w:t>⑴</w:t>
      </w:r>
      <w:r>
        <w:rPr>
          <w:rFonts w:ascii="Times New Roman"/>
          <w:color w:val="000000"/>
        </w:rPr>
        <w:t>项目名称：</w:t>
      </w:r>
      <w:r>
        <w:rPr>
          <w:rFonts w:hint="default" w:ascii="Times New Roman"/>
          <w:color w:val="000000"/>
        </w:rPr>
        <w:t>甘肃湛昌矿业有限责任公司</w:t>
      </w:r>
      <w:r>
        <w:rPr>
          <w:rFonts w:hint="default" w:ascii="Times New Roman"/>
          <w:color w:val="000000"/>
          <w:lang w:val="en-US" w:eastAsia="zh-CN"/>
        </w:rPr>
        <w:t>甘肃省</w:t>
      </w:r>
      <w:r>
        <w:rPr>
          <w:rFonts w:hint="default" w:ascii="Times New Roman"/>
          <w:color w:val="000000"/>
        </w:rPr>
        <w:t>玉门市车路沟大坂金矿开发项目</w:t>
      </w:r>
      <w:r>
        <w:rPr>
          <w:rFonts w:ascii="Times New Roman"/>
          <w:color w:val="000000"/>
        </w:rPr>
        <w:t>；</w:t>
      </w:r>
    </w:p>
    <w:p>
      <w:pPr>
        <w:spacing w:line="360" w:lineRule="auto"/>
        <w:ind w:firstLine="480" w:firstLineChars="200"/>
        <w:rPr>
          <w:rFonts w:ascii="Times New Roman"/>
          <w:color w:val="000000"/>
        </w:rPr>
      </w:pPr>
      <w:bookmarkStart w:id="1" w:name="_Hlk26999043"/>
      <w:r>
        <w:rPr>
          <w:rFonts w:ascii="Times New Roman"/>
          <w:color w:val="000000"/>
        </w:rPr>
        <w:t>⑵</w:t>
      </w:r>
      <w:bookmarkEnd w:id="1"/>
      <w:r>
        <w:rPr>
          <w:rFonts w:ascii="Times New Roman"/>
          <w:color w:val="000000"/>
        </w:rPr>
        <w:t>建设性质：根据《建设项目环境保护管理条例》有关规定，本</w:t>
      </w:r>
      <w:r>
        <w:rPr>
          <w:rFonts w:hint="eastAsia" w:ascii="Times New Roman"/>
          <w:color w:val="000000"/>
        </w:rPr>
        <w:t>项目</w:t>
      </w:r>
      <w:r>
        <w:rPr>
          <w:rFonts w:ascii="Times New Roman"/>
          <w:color w:val="000000"/>
        </w:rPr>
        <w:t>为</w:t>
      </w:r>
      <w:r>
        <w:rPr>
          <w:rFonts w:hint="eastAsia" w:ascii="Times New Roman"/>
          <w:color w:val="000000"/>
          <w:lang w:eastAsia="zh-CN"/>
        </w:rPr>
        <w:t>新建</w:t>
      </w:r>
      <w:r>
        <w:rPr>
          <w:rFonts w:ascii="Times New Roman"/>
          <w:color w:val="000000"/>
        </w:rPr>
        <w:t>项目；</w:t>
      </w:r>
    </w:p>
    <w:p>
      <w:pPr>
        <w:spacing w:line="360" w:lineRule="auto"/>
        <w:ind w:firstLine="480" w:firstLineChars="200"/>
        <w:rPr>
          <w:rFonts w:ascii="Times New Roman"/>
          <w:color w:val="000000"/>
        </w:rPr>
      </w:pPr>
      <w:r>
        <w:rPr>
          <w:rFonts w:ascii="Times New Roman"/>
          <w:color w:val="000000"/>
        </w:rPr>
        <w:t>⑶建设单位：</w:t>
      </w:r>
      <w:r>
        <w:rPr>
          <w:rFonts w:hint="default" w:ascii="Times New Roman"/>
          <w:color w:val="000000"/>
        </w:rPr>
        <w:t>甘肃湛昌矿业有限责任公司</w:t>
      </w:r>
      <w:r>
        <w:rPr>
          <w:rFonts w:ascii="Times New Roman"/>
          <w:color w:val="000000"/>
        </w:rPr>
        <w:t>。</w:t>
      </w:r>
    </w:p>
    <w:p>
      <w:pPr>
        <w:pStyle w:val="2"/>
        <w:spacing w:before="0" w:after="0" w:line="360" w:lineRule="auto"/>
        <w:contextualSpacing/>
        <w:rPr>
          <w:rFonts w:ascii="Times New Roman" w:hAnsi="Times New Roman" w:eastAsiaTheme="minorEastAsia"/>
          <w:color w:val="000000"/>
          <w:sz w:val="24"/>
        </w:rPr>
      </w:pPr>
      <w:r>
        <w:rPr>
          <w:rFonts w:ascii="Times New Roman" w:hAnsi="Times New Roman" w:eastAsiaTheme="minorEastAsia"/>
          <w:color w:val="000000"/>
          <w:sz w:val="24"/>
        </w:rPr>
        <w:t>1.2建设地址</w:t>
      </w:r>
    </w:p>
    <w:p>
      <w:pPr>
        <w:spacing w:line="360" w:lineRule="auto"/>
        <w:ind w:firstLine="480"/>
        <w:rPr>
          <w:rFonts w:hint="default" w:ascii="Times New Roman" w:hAnsi="Times New Roman" w:cs="Times New Roman"/>
          <w:color w:val="000000"/>
        </w:rPr>
      </w:pPr>
      <w:r>
        <w:rPr>
          <w:rFonts w:hint="default" w:ascii="Times New Roman" w:hAnsi="Times New Roman" w:cs="Times New Roman"/>
          <w:color w:val="000000"/>
        </w:rPr>
        <w:t>本项目位于甘肃省</w:t>
      </w:r>
      <w:r>
        <w:rPr>
          <w:rFonts w:hint="default" w:ascii="Times New Roman" w:hAnsi="Times New Roman" w:cs="Times New Roman"/>
          <w:color w:val="000000"/>
          <w:lang w:eastAsia="zh-CN"/>
        </w:rPr>
        <w:t>酒泉市玉门市城区西南侧</w:t>
      </w:r>
      <w:r>
        <w:rPr>
          <w:rFonts w:hint="default" w:ascii="Times New Roman" w:hAnsi="Times New Roman" w:cs="Times New Roman"/>
          <w:color w:val="000000"/>
          <w:lang w:val="en-US" w:eastAsia="zh-CN"/>
        </w:rPr>
        <w:t>37</w:t>
      </w:r>
      <w:r>
        <w:rPr>
          <w:rFonts w:hint="default" w:ascii="Times New Roman" w:hAnsi="Times New Roman" w:cs="Times New Roman"/>
          <w:color w:val="000000"/>
        </w:rPr>
        <w:t>km的</w:t>
      </w:r>
      <w:r>
        <w:rPr>
          <w:rFonts w:hint="eastAsia" w:ascii="Times New Roman" w:cs="Times New Roman"/>
          <w:color w:val="000000"/>
          <w:lang w:eastAsia="zh-CN"/>
        </w:rPr>
        <w:t>昌马镇</w:t>
      </w:r>
      <w:r>
        <w:rPr>
          <w:rFonts w:hint="default" w:ascii="Times New Roman" w:hAnsi="Times New Roman" w:cs="Times New Roman"/>
          <w:color w:val="000000"/>
        </w:rPr>
        <w:t>，隶属玉门市</w:t>
      </w:r>
      <w:r>
        <w:rPr>
          <w:rFonts w:hint="eastAsia" w:ascii="Times New Roman" w:cs="Times New Roman"/>
          <w:color w:val="000000"/>
          <w:lang w:eastAsia="zh-CN"/>
        </w:rPr>
        <w:t>昌马镇</w:t>
      </w:r>
      <w:r>
        <w:rPr>
          <w:rFonts w:hint="default" w:ascii="Times New Roman" w:hAnsi="Times New Roman" w:cs="Times New Roman"/>
          <w:color w:val="000000"/>
        </w:rPr>
        <w:t>管辖</w:t>
      </w:r>
      <w:r>
        <w:rPr>
          <w:rFonts w:hint="default" w:ascii="Times New Roman" w:hAnsi="Times New Roman" w:cs="Times New Roman"/>
          <w:color w:val="000000"/>
          <w:lang w:eastAsia="zh-CN"/>
        </w:rPr>
        <w:t>。</w:t>
      </w:r>
      <w:r>
        <w:rPr>
          <w:rFonts w:hint="default" w:ascii="Times New Roman" w:hAnsi="Times New Roman" w:cs="Times New Roman"/>
          <w:color w:val="000000"/>
          <w:kern w:val="0"/>
          <w:sz w:val="24"/>
        </w:rPr>
        <w:t>处于东经东经96°40′10″～96°43′29″；北纬 39°56′41″～39°58′31″之间</w:t>
      </w:r>
      <w:r>
        <w:rPr>
          <w:rFonts w:hint="default" w:ascii="Times New Roman" w:hAnsi="Times New Roman" w:cs="Times New Roman"/>
          <w:color w:val="000000"/>
          <w:sz w:val="24"/>
        </w:rPr>
        <w:t>，</w:t>
      </w:r>
      <w:r>
        <w:rPr>
          <w:rFonts w:hint="default" w:ascii="Times New Roman" w:hAnsi="Times New Roman" w:cs="Times New Roman"/>
          <w:color w:val="000000"/>
          <w:sz w:val="24"/>
          <w:lang w:eastAsia="zh-CN"/>
        </w:rPr>
        <w:t>矿区与玉昌公路有简易公路连接，</w:t>
      </w:r>
      <w:r>
        <w:rPr>
          <w:rFonts w:hint="default" w:ascii="Times New Roman" w:hAnsi="Times New Roman" w:cs="Times New Roman"/>
          <w:color w:val="000000"/>
          <w:sz w:val="24"/>
        </w:rPr>
        <w:t>玉门市与嘉峪关市、敦煌市、酒泉市、兰州市等有高铁、连霍高速公路相连；嘉峪关市和敦煌市有机场通全国各地，交通较便利</w:t>
      </w:r>
      <w:r>
        <w:rPr>
          <w:rFonts w:hint="default" w:ascii="Times New Roman" w:hAnsi="Times New Roman" w:cs="Times New Roman"/>
          <w:color w:val="000000"/>
        </w:rPr>
        <w:t>。</w:t>
      </w:r>
    </w:p>
    <w:p>
      <w:pPr>
        <w:pStyle w:val="2"/>
        <w:spacing w:before="0" w:after="0" w:line="360" w:lineRule="auto"/>
        <w:contextualSpacing/>
        <w:rPr>
          <w:rFonts w:ascii="Times New Roman" w:hAnsi="Times New Roman" w:eastAsiaTheme="minorEastAsia"/>
          <w:color w:val="000000"/>
          <w:sz w:val="24"/>
        </w:rPr>
      </w:pPr>
      <w:r>
        <w:rPr>
          <w:rFonts w:ascii="Times New Roman" w:hAnsi="Times New Roman" w:eastAsiaTheme="minorEastAsia"/>
          <w:color w:val="000000"/>
          <w:sz w:val="24"/>
        </w:rPr>
        <w:t>1.3</w:t>
      </w:r>
      <w:r>
        <w:rPr>
          <w:rFonts w:hint="eastAsia" w:ascii="Times New Roman" w:hAnsi="Times New Roman" w:eastAsiaTheme="minorEastAsia"/>
          <w:color w:val="000000"/>
          <w:sz w:val="24"/>
        </w:rPr>
        <w:t>建设规模及投资</w:t>
      </w:r>
    </w:p>
    <w:p>
      <w:pPr>
        <w:autoSpaceDE w:val="0"/>
        <w:autoSpaceDN w:val="0"/>
        <w:spacing w:line="360" w:lineRule="auto"/>
        <w:ind w:firstLine="480" w:firstLineChars="200"/>
        <w:rPr>
          <w:rFonts w:hint="eastAsia" w:ascii="Times New Roman" w:eastAsia="宋体"/>
          <w:lang w:eastAsia="zh-CN"/>
        </w:rPr>
      </w:pPr>
      <w:r>
        <w:rPr>
          <w:rFonts w:ascii="Times New Roman"/>
        </w:rPr>
        <w:t>⑴建设</w:t>
      </w:r>
      <w:r>
        <w:rPr>
          <w:rFonts w:hint="eastAsia" w:ascii="Times New Roman"/>
          <w:lang w:eastAsia="zh-CN"/>
        </w:rPr>
        <w:t>规模</w:t>
      </w:r>
    </w:p>
    <w:p>
      <w:pPr>
        <w:autoSpaceDE w:val="0"/>
        <w:autoSpaceDN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w:t>
      </w:r>
      <w:r>
        <w:rPr>
          <w:rFonts w:hint="default" w:ascii="Times New Roman" w:hAnsi="Times New Roman" w:cs="Times New Roman"/>
          <w:color w:val="000000"/>
          <w:sz w:val="24"/>
          <w:lang w:eastAsia="zh-CN"/>
        </w:rPr>
        <w:t>西车路沟矿段</w:t>
      </w:r>
      <w:r>
        <w:rPr>
          <w:rFonts w:hint="default" w:ascii="Times New Roman" w:hAnsi="Times New Roman" w:cs="Times New Roman"/>
          <w:color w:val="000000"/>
          <w:kern w:val="0"/>
          <w:sz w:val="24"/>
        </w:rPr>
        <w:t>矿区面积</w:t>
      </w:r>
      <w:r>
        <w:rPr>
          <w:rFonts w:hint="default" w:ascii="Times New Roman" w:hAnsi="Times New Roman" w:cs="Times New Roman"/>
          <w:color w:val="000000"/>
          <w:kern w:val="0"/>
          <w:sz w:val="24"/>
          <w:lang w:val="en-US" w:eastAsia="zh-CN"/>
        </w:rPr>
        <w:t>0.495</w:t>
      </w:r>
      <w:r>
        <w:rPr>
          <w:rFonts w:hint="default" w:ascii="Times New Roman" w:hAnsi="Times New Roman" w:cs="Times New Roman"/>
          <w:color w:val="000000"/>
          <w:kern w:val="0"/>
          <w:sz w:val="24"/>
        </w:rPr>
        <w:t>km</w:t>
      </w:r>
      <w:r>
        <w:rPr>
          <w:rFonts w:hint="default" w:ascii="Times New Roman" w:hAnsi="Times New Roman" w:cs="Times New Roman"/>
          <w:color w:val="000000"/>
          <w:kern w:val="0"/>
          <w:sz w:val="24"/>
          <w:vertAlign w:val="superscript"/>
        </w:rPr>
        <w:t>2</w:t>
      </w:r>
      <w:r>
        <w:rPr>
          <w:rFonts w:hint="default" w:ascii="Times New Roman" w:hAnsi="Times New Roman" w:cs="Times New Roman"/>
          <w:color w:val="000000"/>
          <w:kern w:val="0"/>
          <w:sz w:val="24"/>
        </w:rPr>
        <w:t>，</w:t>
      </w:r>
      <w:r>
        <w:rPr>
          <w:rFonts w:hint="default" w:ascii="Times New Roman" w:hAnsi="Times New Roman" w:cs="Times New Roman"/>
          <w:color w:val="000000"/>
          <w:sz w:val="24"/>
          <w:lang w:eastAsia="zh-CN"/>
        </w:rPr>
        <w:t>捷大坂矿段</w:t>
      </w:r>
      <w:r>
        <w:rPr>
          <w:rFonts w:hint="default" w:ascii="Times New Roman" w:hAnsi="Times New Roman" w:cs="Times New Roman"/>
          <w:color w:val="000000"/>
          <w:kern w:val="0"/>
          <w:sz w:val="24"/>
        </w:rPr>
        <w:t>矿区面积</w:t>
      </w:r>
      <w:r>
        <w:rPr>
          <w:rFonts w:hint="default" w:ascii="Times New Roman" w:hAnsi="Times New Roman" w:cs="Times New Roman"/>
          <w:color w:val="000000"/>
          <w:kern w:val="0"/>
          <w:sz w:val="24"/>
          <w:lang w:val="en-US" w:eastAsia="zh-CN"/>
        </w:rPr>
        <w:t>1.08</w:t>
      </w:r>
      <w:r>
        <w:rPr>
          <w:rFonts w:hint="default" w:ascii="Times New Roman" w:hAnsi="Times New Roman" w:cs="Times New Roman"/>
          <w:color w:val="000000"/>
          <w:kern w:val="0"/>
          <w:sz w:val="24"/>
        </w:rPr>
        <w:t>km</w:t>
      </w:r>
      <w:r>
        <w:rPr>
          <w:rFonts w:hint="default" w:ascii="Times New Roman" w:hAnsi="Times New Roman" w:cs="Times New Roman"/>
          <w:color w:val="000000"/>
          <w:kern w:val="0"/>
          <w:sz w:val="24"/>
          <w:vertAlign w:val="superscript"/>
        </w:rPr>
        <w:t>2</w:t>
      </w:r>
      <w:r>
        <w:rPr>
          <w:rFonts w:hint="default" w:ascii="Times New Roman" w:hAnsi="Times New Roman" w:cs="Times New Roman"/>
          <w:sz w:val="24"/>
          <w:szCs w:val="24"/>
        </w:rPr>
        <w:t>，</w:t>
      </w:r>
      <w:r>
        <w:rPr>
          <w:rFonts w:hint="default" w:ascii="Times New Roman" w:hAnsi="Times New Roman" w:cs="Times New Roman"/>
          <w:sz w:val="24"/>
          <w:szCs w:val="24"/>
          <w:lang w:eastAsia="zh-CN"/>
        </w:rPr>
        <w:t>开采方式为地下开采，</w:t>
      </w:r>
      <w:r>
        <w:rPr>
          <w:rFonts w:hint="default" w:ascii="Times New Roman" w:hAnsi="Times New Roman" w:cs="Times New Roman"/>
          <w:sz w:val="24"/>
          <w:szCs w:val="24"/>
        </w:rPr>
        <w:t>采矿规模为6×10</w:t>
      </w:r>
      <w:r>
        <w:rPr>
          <w:rFonts w:hint="default" w:ascii="Times New Roman" w:hAnsi="Times New Roman" w:cs="Times New Roman"/>
          <w:sz w:val="24"/>
          <w:szCs w:val="24"/>
          <w:vertAlign w:val="superscript"/>
        </w:rPr>
        <w:t>4</w:t>
      </w:r>
      <w:r>
        <w:rPr>
          <w:rFonts w:hint="default" w:ascii="Times New Roman" w:hAnsi="Times New Roman" w:cs="Times New Roman"/>
          <w:sz w:val="24"/>
          <w:szCs w:val="24"/>
        </w:rPr>
        <w:t>t/a、200t/d，配套建设采矿工业场地</w:t>
      </w:r>
      <w:r>
        <w:rPr>
          <w:rFonts w:hint="default" w:ascii="Times New Roman" w:hAnsi="Times New Roman" w:cs="Times New Roman"/>
          <w:sz w:val="24"/>
          <w:szCs w:val="24"/>
          <w:lang w:eastAsia="zh-CN"/>
        </w:rPr>
        <w:t>、办公生活区</w:t>
      </w:r>
      <w:r>
        <w:rPr>
          <w:rFonts w:hint="default" w:ascii="Times New Roman" w:hAnsi="Times New Roman" w:cs="Times New Roman"/>
          <w:sz w:val="24"/>
          <w:szCs w:val="24"/>
        </w:rPr>
        <w:t>等，产品矿石外售，不建设选矿厂与尾矿库，矿山服务年限</w:t>
      </w:r>
      <w:r>
        <w:rPr>
          <w:rFonts w:hint="eastAsia" w:ascii="Times New Roman" w:cs="Times New Roman"/>
          <w:sz w:val="24"/>
          <w:szCs w:val="24"/>
          <w:lang w:val="en-US" w:eastAsia="zh-CN"/>
        </w:rPr>
        <w:t>7</w:t>
      </w:r>
      <w:r>
        <w:rPr>
          <w:rFonts w:hint="default" w:ascii="Times New Roman" w:hAnsi="Times New Roman" w:cs="Times New Roman"/>
          <w:sz w:val="24"/>
          <w:szCs w:val="24"/>
        </w:rPr>
        <w:t>年（其中基建期1年）。</w:t>
      </w:r>
    </w:p>
    <w:p>
      <w:pPr>
        <w:autoSpaceDE w:val="0"/>
        <w:autoSpaceDN w:val="0"/>
        <w:spacing w:line="360" w:lineRule="auto"/>
        <w:ind w:firstLine="480" w:firstLineChars="200"/>
        <w:rPr>
          <w:rFonts w:ascii="Times New Roman"/>
        </w:rPr>
      </w:pPr>
      <w:r>
        <w:rPr>
          <w:rFonts w:ascii="Times New Roman"/>
        </w:rPr>
        <w:t>⑵投资</w:t>
      </w:r>
    </w:p>
    <w:p>
      <w:pPr>
        <w:autoSpaceDE w:val="0"/>
        <w:autoSpaceDN w:val="0"/>
        <w:spacing w:line="360" w:lineRule="auto"/>
        <w:ind w:firstLine="480" w:firstLineChars="200"/>
        <w:rPr>
          <w:rFonts w:ascii="Times New Roman"/>
        </w:rPr>
      </w:pPr>
      <w:bookmarkStart w:id="2" w:name="_Hlk45022645"/>
      <w:bookmarkStart w:id="3" w:name="_Hlk45023424"/>
      <w:r>
        <w:rPr>
          <w:rFonts w:hint="eastAsia" w:ascii="Times New Roman"/>
        </w:rPr>
        <w:t>本项目总投资37</w:t>
      </w:r>
      <w:r>
        <w:rPr>
          <w:rFonts w:hint="eastAsia" w:ascii="Times New Roman"/>
          <w:lang w:val="en-US" w:eastAsia="zh-CN"/>
        </w:rPr>
        <w:t>01.74</w:t>
      </w:r>
      <w:r>
        <w:rPr>
          <w:rFonts w:hint="eastAsia" w:ascii="Times New Roman"/>
        </w:rPr>
        <w:t>万元，工程费用</w:t>
      </w:r>
      <w:r>
        <w:rPr>
          <w:rFonts w:hint="eastAsia" w:ascii="Times New Roman"/>
          <w:lang w:val="en-US" w:eastAsia="zh-CN"/>
        </w:rPr>
        <w:t>3155.49</w:t>
      </w:r>
      <w:r>
        <w:rPr>
          <w:rFonts w:hint="eastAsia" w:ascii="Times New Roman"/>
        </w:rPr>
        <w:t>万元，其他费用</w:t>
      </w:r>
      <w:r>
        <w:rPr>
          <w:rFonts w:hint="eastAsia" w:ascii="Times New Roman"/>
          <w:lang w:val="en-US" w:eastAsia="zh-CN"/>
        </w:rPr>
        <w:t>558.23</w:t>
      </w:r>
      <w:r>
        <w:rPr>
          <w:rFonts w:hint="eastAsia" w:ascii="Times New Roman"/>
        </w:rPr>
        <w:t>万元。资金来源为自筹</w:t>
      </w:r>
      <w:bookmarkEnd w:id="2"/>
      <w:r>
        <w:rPr>
          <w:rFonts w:hint="eastAsia" w:ascii="Times New Roman"/>
        </w:rPr>
        <w:t>。</w:t>
      </w:r>
      <w:bookmarkEnd w:id="3"/>
      <w:r>
        <w:rPr>
          <w:rFonts w:ascii="Times New Roman"/>
        </w:rPr>
        <w:t>本次环评根据矿山</w:t>
      </w:r>
      <w:r>
        <w:rPr>
          <w:rFonts w:hint="eastAsia" w:ascii="Times New Roman"/>
          <w:lang w:eastAsia="zh-CN"/>
        </w:rPr>
        <w:t>开采</w:t>
      </w:r>
      <w:r>
        <w:rPr>
          <w:rFonts w:ascii="Times New Roman"/>
        </w:rPr>
        <w:t>中污染源分析，对采矿产生的污染物按照环境要素逐一给出环境保护措施，按照现行环保要求提出措施，估算本次环评环保投资为</w:t>
      </w:r>
      <w:r>
        <w:rPr>
          <w:rFonts w:hint="eastAsia" w:ascii="Times New Roman"/>
          <w:lang w:val="en-US" w:eastAsia="zh-CN"/>
        </w:rPr>
        <w:t>352.3</w:t>
      </w:r>
      <w:r>
        <w:rPr>
          <w:rFonts w:ascii="Times New Roman"/>
        </w:rPr>
        <w:t>万元，环保投资占总投资的</w:t>
      </w:r>
      <w:r>
        <w:rPr>
          <w:rFonts w:hint="eastAsia" w:ascii="Times New Roman"/>
          <w:lang w:val="en-US" w:eastAsia="zh-CN"/>
        </w:rPr>
        <w:t>9.51</w:t>
      </w:r>
      <w:r>
        <w:rPr>
          <w:rFonts w:ascii="Times New Roman"/>
        </w:rPr>
        <w:t>%。</w:t>
      </w:r>
    </w:p>
    <w:p>
      <w:pPr>
        <w:pStyle w:val="2"/>
        <w:keepNext w:val="0"/>
        <w:keepLines w:val="0"/>
        <w:pageBreakBefore w:val="0"/>
        <w:widowControl w:val="0"/>
        <w:kinsoku/>
        <w:wordWrap/>
        <w:overflowPunct/>
        <w:topLinePunct w:val="0"/>
        <w:autoSpaceDE/>
        <w:autoSpaceDN/>
        <w:bidi w:val="0"/>
        <w:adjustRightInd/>
        <w:snapToGrid/>
        <w:spacing w:before="0" w:after="0" w:line="360" w:lineRule="auto"/>
        <w:contextualSpacing/>
        <w:textAlignment w:val="auto"/>
        <w:rPr>
          <w:rFonts w:ascii="Times New Roman" w:hAnsi="Times New Roman" w:eastAsiaTheme="minorEastAsia"/>
          <w:color w:val="000000"/>
          <w:sz w:val="24"/>
        </w:rPr>
      </w:pPr>
      <w:r>
        <w:rPr>
          <w:rFonts w:ascii="Times New Roman" w:hAnsi="Times New Roman" w:eastAsiaTheme="minorEastAsia"/>
          <w:color w:val="000000"/>
          <w:sz w:val="24"/>
        </w:rPr>
        <w:t>1.4</w:t>
      </w:r>
      <w:r>
        <w:rPr>
          <w:rFonts w:hint="eastAsia" w:ascii="Times New Roman" w:hAnsi="Times New Roman" w:eastAsiaTheme="minorEastAsia"/>
          <w:color w:val="000000"/>
          <w:sz w:val="24"/>
        </w:rPr>
        <w:t>工程组成及建设内容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color w:val="000000"/>
        </w:rPr>
      </w:pPr>
      <w:r>
        <w:rPr>
          <w:rFonts w:hint="default" w:ascii="Times New Roman"/>
          <w:color w:val="000000"/>
        </w:rPr>
        <w:t>本项目由主体工程（采矿</w:t>
      </w:r>
      <w:r>
        <w:rPr>
          <w:rFonts w:hint="eastAsia" w:ascii="Times New Roman"/>
          <w:color w:val="000000"/>
          <w:lang w:val="en-US" w:eastAsia="zh-CN"/>
        </w:rPr>
        <w:t>工程</w:t>
      </w:r>
      <w:r>
        <w:rPr>
          <w:rFonts w:hint="default" w:ascii="Times New Roman"/>
          <w:color w:val="000000"/>
        </w:rPr>
        <w:t>），辅助工程（</w:t>
      </w:r>
      <w:r>
        <w:rPr>
          <w:rFonts w:hint="eastAsia" w:ascii="Times New Roman"/>
          <w:color w:val="000000"/>
          <w:lang w:val="en-US" w:eastAsia="zh-CN"/>
        </w:rPr>
        <w:t>采矿工业场地、空压站</w:t>
      </w:r>
      <w:r>
        <w:rPr>
          <w:rFonts w:hint="default" w:ascii="Times New Roman"/>
          <w:color w:val="000000"/>
        </w:rPr>
        <w:t>、通风机房等），储运工程（矿区道路、</w:t>
      </w:r>
      <w:r>
        <w:rPr>
          <w:rFonts w:hint="eastAsia" w:ascii="Times New Roman"/>
          <w:color w:val="000000"/>
          <w:lang w:val="en-US" w:eastAsia="zh-CN"/>
        </w:rPr>
        <w:t>原矿堆场、</w:t>
      </w:r>
      <w:r>
        <w:rPr>
          <w:rFonts w:hint="default" w:ascii="Times New Roman"/>
          <w:color w:val="000000"/>
        </w:rPr>
        <w:t>废石场等），公用工程（供水、供电、供气、通风等），环保工程（系统除尘、废水处理、噪声防治、固废处置等）组成</w:t>
      </w:r>
      <w:r>
        <w:rPr>
          <w:rFonts w:ascii="Times New Roman"/>
          <w:color w:val="000000"/>
        </w:rPr>
        <w:t>。本</w:t>
      </w:r>
      <w:r>
        <w:rPr>
          <w:rFonts w:hint="eastAsia" w:ascii="Times New Roman"/>
          <w:color w:val="000000"/>
        </w:rPr>
        <w:t>项目</w:t>
      </w:r>
      <w:r>
        <w:rPr>
          <w:rFonts w:ascii="Times New Roman"/>
          <w:color w:val="000000"/>
        </w:rPr>
        <w:t>建设内容见表1。</w:t>
      </w:r>
    </w:p>
    <w:p>
      <w:pPr>
        <w:spacing w:line="360" w:lineRule="auto"/>
        <w:jc w:val="left"/>
        <w:rPr>
          <w:rFonts w:ascii="Times New Roman" w:eastAsiaTheme="majorEastAsia"/>
          <w:b/>
          <w:kern w:val="2"/>
          <w:sz w:val="28"/>
          <w:szCs w:val="28"/>
        </w:rPr>
      </w:pPr>
    </w:p>
    <w:p>
      <w:pPr>
        <w:spacing w:line="360" w:lineRule="auto"/>
        <w:jc w:val="left"/>
        <w:rPr>
          <w:rFonts w:ascii="Times New Roman" w:eastAsiaTheme="majorEastAsia"/>
          <w:b/>
          <w:kern w:val="2"/>
          <w:sz w:val="28"/>
          <w:szCs w:val="28"/>
        </w:rPr>
        <w:sectPr>
          <w:pgSz w:w="11906" w:h="16838"/>
          <w:pgMar w:top="1440" w:right="1803" w:bottom="1440" w:left="1757" w:header="851" w:footer="992" w:gutter="0"/>
          <w:cols w:space="425" w:num="1"/>
          <w:docGrid w:type="linesAndChars" w:linePitch="312" w:charSpace="0"/>
        </w:sectPr>
      </w:pPr>
    </w:p>
    <w:p>
      <w:pPr>
        <w:autoSpaceDE w:val="0"/>
        <w:autoSpaceDN w:val="0"/>
        <w:adjustRightInd w:val="0"/>
        <w:ind w:firstLine="4680" w:firstLineChars="1950"/>
        <w:rPr>
          <w:rFonts w:ascii="Times New Roman" w:eastAsia="黑体"/>
          <w:bCs/>
          <w:color w:val="000000"/>
          <w:kern w:val="2"/>
          <w:szCs w:val="22"/>
          <w:lang w:val="zh-CN"/>
        </w:rPr>
      </w:pPr>
      <w:r>
        <w:rPr>
          <w:rFonts w:ascii="Times New Roman" w:eastAsia="黑体"/>
          <w:bCs/>
          <w:color w:val="000000"/>
          <w:kern w:val="2"/>
          <w:szCs w:val="22"/>
          <w:lang w:val="zh-CN"/>
        </w:rPr>
        <w:t>表</w:t>
      </w:r>
      <w:r>
        <w:rPr>
          <w:rFonts w:ascii="Times New Roman" w:eastAsia="黑体"/>
          <w:bCs/>
          <w:color w:val="000000"/>
          <w:kern w:val="2"/>
          <w:szCs w:val="22"/>
        </w:rPr>
        <w:t>1          本</w:t>
      </w:r>
      <w:r>
        <w:rPr>
          <w:rFonts w:hint="eastAsia" w:ascii="Times New Roman" w:eastAsia="黑体"/>
          <w:bCs/>
          <w:color w:val="000000"/>
          <w:kern w:val="2"/>
          <w:szCs w:val="22"/>
          <w:lang w:val="zh-CN"/>
        </w:rPr>
        <w:t>项目</w:t>
      </w:r>
      <w:r>
        <w:rPr>
          <w:rFonts w:ascii="Times New Roman" w:eastAsia="黑体"/>
          <w:bCs/>
          <w:color w:val="000000"/>
          <w:kern w:val="2"/>
          <w:szCs w:val="22"/>
          <w:lang w:val="zh-CN"/>
        </w:rPr>
        <w:t>建设内容一览表</w:t>
      </w:r>
    </w:p>
    <w:tbl>
      <w:tblPr>
        <w:tblStyle w:val="15"/>
        <w:tblW w:w="0" w:type="auto"/>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826"/>
        <w:gridCol w:w="906"/>
        <w:gridCol w:w="11432"/>
        <w:gridCol w:w="67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574" w:hRule="atLeast"/>
          <w:tblHeader/>
        </w:trPr>
        <w:tc>
          <w:tcPr>
            <w:tcW w:w="82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90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单项工</w:t>
            </w:r>
          </w:p>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程名称</w:t>
            </w:r>
          </w:p>
        </w:tc>
        <w:tc>
          <w:tcPr>
            <w:tcW w:w="11432" w:type="dxa"/>
            <w:noWrap w:val="0"/>
            <w:vAlign w:val="center"/>
          </w:tcPr>
          <w:p>
            <w:pPr>
              <w:spacing w:line="0" w:lineRule="atLeast"/>
              <w:ind w:firstLine="36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  程  内  容</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备注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678" w:hRule="atLeast"/>
        </w:trPr>
        <w:tc>
          <w:tcPr>
            <w:tcW w:w="826" w:type="dxa"/>
            <w:vMerge w:val="restart"/>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w:t>
            </w:r>
          </w:p>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906" w:type="dxa"/>
            <w:noWrap w:val="0"/>
            <w:vAlign w:val="center"/>
          </w:tcPr>
          <w:p>
            <w:pPr>
              <w:autoSpaceDE w:val="0"/>
              <w:autoSpaceDN w:val="0"/>
              <w:adjustRightInd w:val="0"/>
              <w:spacing w:line="0" w:lineRule="atLeast"/>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采矿</w:t>
            </w:r>
          </w:p>
          <w:p>
            <w:pPr>
              <w:autoSpaceDE w:val="0"/>
              <w:autoSpaceDN w:val="0"/>
              <w:adjustRightInd w:val="0"/>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工程</w:t>
            </w:r>
          </w:p>
        </w:tc>
        <w:tc>
          <w:tcPr>
            <w:tcW w:w="11432" w:type="dxa"/>
            <w:noWrap w:val="0"/>
            <w:vAlign w:val="center"/>
          </w:tcPr>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西车路沟矿区面积约0.495km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，捷大坂矿区面积约1.08km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，分区同时开采，采矿规模为6.0×10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t/a、200t/d，工作为300天，每日三班，每班8小时。矿山服务年限7年，西车路沟</w:t>
            </w:r>
            <w:r>
              <w:rPr>
                <w:rFonts w:hint="default" w:ascii="Times New Roman" w:hAnsi="Times New Roman" w:cs="Times New Roman"/>
                <w:color w:val="auto"/>
                <w:sz w:val="21"/>
                <w:szCs w:val="21"/>
                <w:lang w:val="zh-CN" w:eastAsia="zh-TW"/>
              </w:rPr>
              <w:t>开采</w:t>
            </w:r>
            <w:r>
              <w:rPr>
                <w:rFonts w:hint="default" w:ascii="Times New Roman" w:hAnsi="Times New Roman" w:cs="Times New Roman"/>
                <w:color w:val="auto"/>
                <w:sz w:val="21"/>
                <w:szCs w:val="21"/>
                <w:lang w:val="zh-CN"/>
              </w:rPr>
              <w:t>标高2</w:t>
            </w:r>
            <w:r>
              <w:rPr>
                <w:rFonts w:hint="default" w:ascii="Times New Roman" w:hAnsi="Times New Roman" w:cs="Times New Roman"/>
                <w:color w:val="auto"/>
                <w:sz w:val="21"/>
                <w:szCs w:val="21"/>
              </w:rPr>
              <w:t>76</w:t>
            </w:r>
            <w:r>
              <w:rPr>
                <w:rFonts w:hint="default" w:ascii="Times New Roman" w:hAnsi="Times New Roman" w:cs="Times New Roman"/>
                <w:color w:val="auto"/>
                <w:sz w:val="21"/>
                <w:szCs w:val="21"/>
                <w:lang w:val="zh-CN"/>
              </w:rPr>
              <w:t>0m—2</w:t>
            </w:r>
            <w:r>
              <w:rPr>
                <w:rFonts w:hint="default" w:ascii="Times New Roman" w:hAnsi="Times New Roman" w:cs="Times New Roman"/>
                <w:color w:val="auto"/>
                <w:sz w:val="21"/>
                <w:szCs w:val="21"/>
              </w:rPr>
              <w:t>550</w:t>
            </w:r>
            <w:r>
              <w:rPr>
                <w:rFonts w:hint="default" w:ascii="Times New Roman" w:hAnsi="Times New Roman" w:cs="Times New Roman"/>
                <w:color w:val="auto"/>
                <w:sz w:val="21"/>
                <w:szCs w:val="21"/>
                <w:lang w:val="zh-CN"/>
              </w:rPr>
              <w:t>m</w:t>
            </w:r>
            <w:r>
              <w:rPr>
                <w:rFonts w:hint="default" w:ascii="Times New Roman" w:hAnsi="Times New Roman" w:cs="Times New Roman"/>
                <w:color w:val="auto"/>
                <w:sz w:val="21"/>
                <w:szCs w:val="21"/>
              </w:rPr>
              <w:t>，捷大坂</w:t>
            </w:r>
            <w:r>
              <w:rPr>
                <w:rFonts w:hint="default" w:ascii="Times New Roman" w:hAnsi="Times New Roman" w:cs="Times New Roman"/>
                <w:color w:val="auto"/>
                <w:sz w:val="21"/>
                <w:szCs w:val="21"/>
                <w:lang w:val="zh-CN" w:eastAsia="zh-TW"/>
              </w:rPr>
              <w:t>开采</w:t>
            </w:r>
            <w:r>
              <w:rPr>
                <w:rFonts w:hint="default" w:ascii="Times New Roman" w:hAnsi="Times New Roman" w:cs="Times New Roman"/>
                <w:color w:val="auto"/>
                <w:sz w:val="21"/>
                <w:szCs w:val="21"/>
                <w:lang w:val="zh-CN"/>
              </w:rPr>
              <w:t>标高2</w:t>
            </w:r>
            <w:r>
              <w:rPr>
                <w:rFonts w:hint="default" w:ascii="Times New Roman" w:hAnsi="Times New Roman" w:cs="Times New Roman"/>
                <w:color w:val="auto"/>
                <w:sz w:val="21"/>
                <w:szCs w:val="21"/>
              </w:rPr>
              <w:t>700</w:t>
            </w:r>
            <w:r>
              <w:rPr>
                <w:rFonts w:hint="default" w:ascii="Times New Roman" w:hAnsi="Times New Roman" w:cs="Times New Roman"/>
                <w:color w:val="auto"/>
                <w:sz w:val="21"/>
                <w:szCs w:val="21"/>
                <w:lang w:val="zh-CN"/>
              </w:rPr>
              <w:t>m—2</w:t>
            </w:r>
            <w:r>
              <w:rPr>
                <w:rFonts w:hint="default" w:ascii="Times New Roman" w:hAnsi="Times New Roman" w:cs="Times New Roman"/>
                <w:color w:val="auto"/>
                <w:sz w:val="21"/>
                <w:szCs w:val="21"/>
              </w:rPr>
              <w:t>440</w:t>
            </w:r>
            <w:r>
              <w:rPr>
                <w:rFonts w:hint="default" w:ascii="Times New Roman" w:hAnsi="Times New Roman" w:cs="Times New Roman"/>
                <w:color w:val="auto"/>
                <w:sz w:val="21"/>
                <w:szCs w:val="21"/>
                <w:lang w:val="zh-CN"/>
              </w:rPr>
              <w:t>m</w:t>
            </w:r>
            <w:r>
              <w:rPr>
                <w:rFonts w:hint="default" w:ascii="Times New Roman" w:hAnsi="Times New Roman" w:cs="Times New Roman"/>
                <w:color w:val="auto"/>
                <w:sz w:val="21"/>
                <w:szCs w:val="21"/>
              </w:rPr>
              <w:t>，开采对象为申请采矿权内的所有资源估算范围内矿体，设计利用的资源量为34.63×10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t，金金属量915kg，平均品位2.64g/t。</w:t>
            </w:r>
          </w:p>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开采方式均为地下开采，采用浅孔留矿（嗣后废石充填）采矿法和削壁充填采矿法。</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678" w:hRule="atLeast"/>
        </w:trPr>
        <w:tc>
          <w:tcPr>
            <w:tcW w:w="826" w:type="dxa"/>
            <w:vMerge w:val="continue"/>
            <w:noWrap w:val="0"/>
            <w:vAlign w:val="center"/>
          </w:tcPr>
          <w:p>
            <w:pPr>
              <w:spacing w:line="0" w:lineRule="atLeast"/>
              <w:jc w:val="center"/>
              <w:rPr>
                <w:rFonts w:hint="default" w:ascii="Times New Roman" w:hAnsi="Times New Roman" w:cs="Times New Roman"/>
                <w:color w:val="auto"/>
                <w:sz w:val="21"/>
                <w:szCs w:val="21"/>
              </w:rPr>
            </w:pPr>
          </w:p>
        </w:tc>
        <w:tc>
          <w:tcPr>
            <w:tcW w:w="906" w:type="dxa"/>
            <w:vMerge w:val="restart"/>
            <w:noWrap w:val="0"/>
            <w:vAlign w:val="center"/>
          </w:tcPr>
          <w:p>
            <w:pPr>
              <w:autoSpaceDE w:val="0"/>
              <w:autoSpaceDN w:val="0"/>
              <w:adjustRightInd w:val="0"/>
              <w:spacing w:line="0" w:lineRule="atLeast"/>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开拓系统</w:t>
            </w:r>
          </w:p>
        </w:tc>
        <w:tc>
          <w:tcPr>
            <w:tcW w:w="11432" w:type="dxa"/>
            <w:noWrap w:val="0"/>
            <w:vAlign w:val="center"/>
          </w:tcPr>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捷大坂采区采用“平硐+盲斜井”开拓，在7线2618m标高重新利用已封堵的探矿PD88平硐，净断面6.04m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（2.4m×2.6m），然后开掘2640-2500m盲斜井。斜井倾角25°，斜井净断面6.04m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（2.4m×2.6m），采用整体混凝土支护，支护厚度200mm。斜井采用串车提升，提升采用JK-2/20E型单筒提升机，电机功率185kW，提升容器为0.7m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矿车（每次提升3辆）。</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利旧新建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678" w:hRule="atLeast"/>
        </w:trPr>
        <w:tc>
          <w:tcPr>
            <w:tcW w:w="826" w:type="dxa"/>
            <w:vMerge w:val="continue"/>
            <w:noWrap w:val="0"/>
            <w:vAlign w:val="center"/>
          </w:tcPr>
          <w:p>
            <w:pPr>
              <w:spacing w:line="0" w:lineRule="atLeast"/>
              <w:jc w:val="center"/>
              <w:rPr>
                <w:rFonts w:hint="default" w:ascii="Times New Roman" w:hAnsi="Times New Roman" w:cs="Times New Roman"/>
                <w:color w:val="auto"/>
                <w:sz w:val="21"/>
                <w:szCs w:val="21"/>
              </w:rPr>
            </w:pPr>
          </w:p>
        </w:tc>
        <w:tc>
          <w:tcPr>
            <w:tcW w:w="906" w:type="dxa"/>
            <w:vMerge w:val="continue"/>
            <w:noWrap w:val="0"/>
            <w:vAlign w:val="center"/>
          </w:tcPr>
          <w:p>
            <w:pPr>
              <w:autoSpaceDE w:val="0"/>
              <w:autoSpaceDN w:val="0"/>
              <w:adjustRightInd w:val="0"/>
              <w:spacing w:line="0" w:lineRule="atLeast"/>
              <w:jc w:val="center"/>
              <w:rPr>
                <w:rFonts w:hint="default" w:ascii="Times New Roman" w:hAnsi="Times New Roman" w:cs="Times New Roman"/>
                <w:color w:val="auto"/>
                <w:sz w:val="21"/>
                <w:szCs w:val="21"/>
                <w:lang w:val="zh-CN"/>
              </w:rPr>
            </w:pPr>
          </w:p>
        </w:tc>
        <w:tc>
          <w:tcPr>
            <w:tcW w:w="11432" w:type="dxa"/>
            <w:noWrap w:val="0"/>
            <w:vAlign w:val="center"/>
          </w:tcPr>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西车路沟采区采用探矿期形成已有探矿斜井（斜井井口位于07线以北）作为运输斜井，形成斜井开拓系统；斜井倾角25°，斜井净断面6.04m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（2.4m×2.6m），井口段20米采用整体混凝土支护，支护厚度200mm,其余地段采用喷射混凝土支护，支护厚度100mm。斜井采用串车提升，提升采用JK-2/20E型单筒提升机，电机功率185kW，提升容器为0.7m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矿车（每次提升3辆）</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利旧新建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521" w:hRule="atLeast"/>
        </w:trPr>
        <w:tc>
          <w:tcPr>
            <w:tcW w:w="826" w:type="dxa"/>
            <w:vMerge w:val="restart"/>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w:t>
            </w:r>
          </w:p>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906" w:type="dxa"/>
            <w:vMerge w:val="restart"/>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采矿工业场地</w:t>
            </w:r>
          </w:p>
        </w:tc>
        <w:tc>
          <w:tcPr>
            <w:tcW w:w="11432" w:type="dxa"/>
            <w:noWrap w:val="0"/>
            <w:vAlign w:val="center"/>
          </w:tcPr>
          <w:p>
            <w:pPr>
              <w:autoSpaceDE w:val="0"/>
              <w:autoSpaceDN w:val="0"/>
              <w:adjustRightInd w:val="0"/>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西车路沟矿区采矿工业场地</w:t>
            </w:r>
            <w:r>
              <w:rPr>
                <w:rFonts w:hint="default" w:ascii="Times New Roman" w:hAnsi="Times New Roman" w:cs="Times New Roman"/>
                <w:color w:val="auto"/>
                <w:sz w:val="21"/>
                <w:szCs w:val="21"/>
                <w:lang w:val="zh-CN"/>
              </w:rPr>
              <w:t>由车场及辅助设施组成，布置于采区斜井（平硐）附近，占地面积</w:t>
            </w:r>
            <w:r>
              <w:rPr>
                <w:rFonts w:hint="default" w:ascii="Times New Roman" w:hAnsi="Times New Roman" w:cs="Times New Roman"/>
                <w:color w:val="auto"/>
                <w:sz w:val="21"/>
                <w:szCs w:val="21"/>
              </w:rPr>
              <w:t>4000m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，由空压机站、提升机房、变配电所、坑口办公室组成。</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521" w:hRule="atLeast"/>
        </w:trPr>
        <w:tc>
          <w:tcPr>
            <w:tcW w:w="826" w:type="dxa"/>
            <w:vMerge w:val="continue"/>
            <w:noWrap w:val="0"/>
            <w:vAlign w:val="center"/>
          </w:tcPr>
          <w:p>
            <w:pPr>
              <w:spacing w:line="0" w:lineRule="atLeast"/>
              <w:jc w:val="center"/>
              <w:rPr>
                <w:rFonts w:hint="default" w:ascii="Times New Roman" w:hAnsi="Times New Roman" w:cs="Times New Roman"/>
                <w:color w:val="auto"/>
                <w:sz w:val="21"/>
                <w:szCs w:val="21"/>
              </w:rPr>
            </w:pPr>
          </w:p>
        </w:tc>
        <w:tc>
          <w:tcPr>
            <w:tcW w:w="906" w:type="dxa"/>
            <w:vMerge w:val="continue"/>
            <w:noWrap w:val="0"/>
            <w:vAlign w:val="center"/>
          </w:tcPr>
          <w:p>
            <w:pPr>
              <w:spacing w:line="0" w:lineRule="atLeast"/>
              <w:jc w:val="center"/>
              <w:rPr>
                <w:rFonts w:hint="default" w:ascii="Times New Roman" w:hAnsi="Times New Roman" w:cs="Times New Roman"/>
                <w:color w:val="auto"/>
                <w:sz w:val="21"/>
                <w:szCs w:val="21"/>
              </w:rPr>
            </w:pPr>
          </w:p>
        </w:tc>
        <w:tc>
          <w:tcPr>
            <w:tcW w:w="11432" w:type="dxa"/>
            <w:noWrap w:val="0"/>
            <w:vAlign w:val="center"/>
          </w:tcPr>
          <w:p>
            <w:pPr>
              <w:autoSpaceDE w:val="0"/>
              <w:autoSpaceDN w:val="0"/>
              <w:adjustRightInd w:val="0"/>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捷大坂矿区采矿工业场地</w:t>
            </w:r>
            <w:r>
              <w:rPr>
                <w:rFonts w:hint="default" w:ascii="Times New Roman" w:hAnsi="Times New Roman" w:cs="Times New Roman"/>
                <w:color w:val="auto"/>
                <w:sz w:val="21"/>
                <w:szCs w:val="21"/>
                <w:lang w:val="zh-CN"/>
              </w:rPr>
              <w:t>由车场及辅助设施组成，布置于采区平硐附近，占地面积</w:t>
            </w:r>
            <w:r>
              <w:rPr>
                <w:rFonts w:hint="default" w:ascii="Times New Roman" w:hAnsi="Times New Roman" w:cs="Times New Roman"/>
                <w:color w:val="auto"/>
                <w:sz w:val="21"/>
                <w:szCs w:val="21"/>
              </w:rPr>
              <w:t>4124m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zh-CN"/>
              </w:rPr>
              <w:t>由空压机站、提升机房、变配电所、坑口办公室</w:t>
            </w:r>
            <w:r>
              <w:rPr>
                <w:rFonts w:hint="default" w:ascii="Times New Roman" w:hAnsi="Times New Roman" w:cs="Times New Roman"/>
                <w:color w:val="auto"/>
                <w:sz w:val="21"/>
                <w:szCs w:val="21"/>
              </w:rPr>
              <w:t>组成。</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521" w:hRule="atLeast"/>
        </w:trPr>
        <w:tc>
          <w:tcPr>
            <w:tcW w:w="826" w:type="dxa"/>
            <w:vMerge w:val="continue"/>
            <w:noWrap w:val="0"/>
            <w:vAlign w:val="center"/>
          </w:tcPr>
          <w:p>
            <w:pPr>
              <w:spacing w:line="0" w:lineRule="atLeast"/>
              <w:jc w:val="center"/>
              <w:rPr>
                <w:rFonts w:hint="default" w:ascii="Times New Roman" w:hAnsi="Times New Roman" w:cs="Times New Roman"/>
                <w:color w:val="auto"/>
                <w:sz w:val="21"/>
                <w:szCs w:val="21"/>
              </w:rPr>
            </w:pPr>
          </w:p>
        </w:tc>
        <w:tc>
          <w:tcPr>
            <w:tcW w:w="90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办公生活区</w:t>
            </w:r>
          </w:p>
        </w:tc>
        <w:tc>
          <w:tcPr>
            <w:tcW w:w="11432" w:type="dxa"/>
            <w:noWrap w:val="0"/>
            <w:vAlign w:val="center"/>
          </w:tcPr>
          <w:p>
            <w:pPr>
              <w:autoSpaceDE w:val="0"/>
              <w:autoSpaceDN w:val="0"/>
              <w:adjustRightInd w:val="0"/>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w:t>
            </w:r>
            <w:r>
              <w:rPr>
                <w:rFonts w:hint="default" w:ascii="Times New Roman" w:hAnsi="Times New Roman" w:cs="Times New Roman"/>
                <w:color w:val="auto"/>
                <w:sz w:val="21"/>
                <w:szCs w:val="21"/>
                <w:lang w:val="zh-CN"/>
              </w:rPr>
              <w:t>昌马金矿办公生活区</w:t>
            </w:r>
            <w:r>
              <w:rPr>
                <w:rFonts w:hint="default" w:ascii="Times New Roman" w:hAnsi="Times New Roman" w:cs="Times New Roman"/>
                <w:color w:val="auto"/>
                <w:sz w:val="21"/>
                <w:szCs w:val="21"/>
              </w:rPr>
              <w:t>。</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521"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noWrap w:val="0"/>
            <w:vAlign w:val="center"/>
          </w:tcPr>
          <w:p>
            <w:pPr>
              <w:spacing w:line="0" w:lineRule="atLeast"/>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高位</w:t>
            </w:r>
          </w:p>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zh-CN"/>
              </w:rPr>
              <w:t>水池</w:t>
            </w:r>
          </w:p>
        </w:tc>
        <w:tc>
          <w:tcPr>
            <w:tcW w:w="11432" w:type="dxa"/>
            <w:noWrap w:val="0"/>
            <w:vAlign w:val="center"/>
          </w:tcPr>
          <w:p>
            <w:pPr>
              <w:autoSpaceDE w:val="0"/>
              <w:autoSpaceDN w:val="0"/>
              <w:adjustRightInd w:val="0"/>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拟建2座防渗高水位池，西车路沟高位水池容积为150 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，占地面积为0.0075 hm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；西车路沟高位水池容积为200 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，占地面积为0.01 hm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；用于储存采矿生产用水。</w:t>
            </w:r>
          </w:p>
        </w:tc>
        <w:tc>
          <w:tcPr>
            <w:tcW w:w="676" w:type="dxa"/>
            <w:noWrap w:val="0"/>
            <w:vAlign w:val="center"/>
          </w:tcPr>
          <w:p>
            <w:pPr>
              <w:autoSpaceDE w:val="0"/>
              <w:autoSpaceDN w:val="0"/>
              <w:adjustRightInd w:val="0"/>
              <w:spacing w:line="0" w:lineRule="atLeas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521"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空压</w:t>
            </w:r>
          </w:p>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机站</w:t>
            </w:r>
          </w:p>
        </w:tc>
        <w:tc>
          <w:tcPr>
            <w:tcW w:w="11432" w:type="dxa"/>
            <w:noWrap w:val="0"/>
            <w:vAlign w:val="center"/>
          </w:tcPr>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在西车路沟和捷大坂矿区采矿工业场地各自设置固定式空压机站，主要为矿体掘进、回采、装药、支护等气动工具供气，设置的1台JN200-41/8-Ⅱ型空压机空压机。</w:t>
            </w:r>
          </w:p>
        </w:tc>
        <w:tc>
          <w:tcPr>
            <w:tcW w:w="676" w:type="dxa"/>
            <w:noWrap w:val="0"/>
            <w:vAlign w:val="center"/>
          </w:tcPr>
          <w:p>
            <w:pPr>
              <w:autoSpaceDE w:val="0"/>
              <w:autoSpaceDN w:val="0"/>
              <w:adjustRightInd w:val="0"/>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273" w:hRule="atLeast"/>
        </w:trPr>
        <w:tc>
          <w:tcPr>
            <w:tcW w:w="826" w:type="dxa"/>
            <w:vMerge w:val="continue"/>
            <w:tcBorders>
              <w:bottom w:val="single" w:color="000000" w:sz="2" w:space="0"/>
            </w:tcBorders>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tcBorders>
              <w:bottom w:val="single" w:color="000000" w:sz="2" w:space="0"/>
            </w:tcBorders>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通风</w:t>
            </w:r>
          </w:p>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机房</w:t>
            </w:r>
          </w:p>
        </w:tc>
        <w:tc>
          <w:tcPr>
            <w:tcW w:w="11432" w:type="dxa"/>
            <w:tcBorders>
              <w:bottom w:val="single" w:color="000000" w:sz="2" w:space="0"/>
            </w:tcBorders>
            <w:noWrap w:val="0"/>
            <w:vAlign w:val="center"/>
          </w:tcPr>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回风井处各设置1座通风机房，捷大坂矿段需风量为22m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/s，风阻为278.01pa；西车路沟矿段需风量为10m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/s，风阻为160.26pa，采用型号为</w:t>
            </w:r>
            <w:r>
              <w:rPr>
                <w:rFonts w:hint="default" w:ascii="Times New Roman" w:hAnsi="Times New Roman" w:cs="Times New Roman"/>
                <w:color w:val="auto"/>
                <w:sz w:val="21"/>
                <w:szCs w:val="21"/>
                <w:lang w:val="zh-CN"/>
              </w:rPr>
              <w:t>SD-5.6A2×15</w:t>
            </w:r>
            <w:r>
              <w:rPr>
                <w:rFonts w:hint="default" w:ascii="Times New Roman" w:hAnsi="Times New Roman" w:cs="Times New Roman"/>
                <w:color w:val="auto"/>
                <w:sz w:val="21"/>
                <w:szCs w:val="21"/>
              </w:rPr>
              <w:t>型主扇2台，井巷掘进工作面、硐室、装卸矿点以及采场工作面采用局扇加强通风，掘进、采场通风选用YBT-11局扇6台。</w:t>
            </w:r>
          </w:p>
        </w:tc>
        <w:tc>
          <w:tcPr>
            <w:tcW w:w="676" w:type="dxa"/>
            <w:noWrap w:val="0"/>
            <w:vAlign w:val="center"/>
          </w:tcPr>
          <w:p>
            <w:pPr>
              <w:autoSpaceDE w:val="0"/>
              <w:autoSpaceDN w:val="0"/>
              <w:adjustRightInd w:val="0"/>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242" w:hRule="atLeast"/>
        </w:trPr>
        <w:tc>
          <w:tcPr>
            <w:tcW w:w="826" w:type="dxa"/>
            <w:vMerge w:val="restart"/>
            <w:tcBorders>
              <w:top w:val="single" w:color="000000" w:sz="2" w:space="0"/>
            </w:tcBorders>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w:t>
            </w:r>
          </w:p>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906" w:type="dxa"/>
            <w:tcBorders>
              <w:top w:val="single" w:color="000000" w:sz="2" w:space="0"/>
              <w:bottom w:val="single" w:color="000000" w:sz="2" w:space="0"/>
            </w:tcBorders>
            <w:noWrap w:val="0"/>
            <w:vAlign w:val="center"/>
          </w:tcPr>
          <w:p>
            <w:pPr>
              <w:spacing w:line="0" w:lineRule="atLeast"/>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矿区</w:t>
            </w:r>
          </w:p>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rPr>
              <w:t>道路</w:t>
            </w:r>
          </w:p>
        </w:tc>
        <w:tc>
          <w:tcPr>
            <w:tcW w:w="11432" w:type="dxa"/>
            <w:tcBorders>
              <w:top w:val="single" w:color="000000" w:sz="2" w:space="0"/>
            </w:tcBorders>
            <w:noWrap w:val="0"/>
            <w:vAlign w:val="center"/>
          </w:tcPr>
          <w:p>
            <w:pPr>
              <w:spacing w:line="0" w:lineRule="atLeast"/>
              <w:rPr>
                <w:rFonts w:hint="default" w:ascii="Times New Roman" w:hAnsi="Times New Roman" w:cs="Times New Roman"/>
                <w:color w:val="auto"/>
                <w:sz w:val="21"/>
                <w:szCs w:val="21"/>
              </w:rPr>
            </w:pPr>
            <w:bookmarkStart w:id="4" w:name="_Hlk43830004"/>
            <w:r>
              <w:rPr>
                <w:rFonts w:hint="default" w:ascii="Times New Roman" w:hAnsi="Times New Roman" w:cs="Times New Roman"/>
                <w:color w:val="auto"/>
                <w:sz w:val="21"/>
                <w:szCs w:val="21"/>
              </w:rPr>
              <w:t>外部运输利用社会车辆，矿区与玉昌公路之间有乡村简易公路连接，矿区道路主要是各采区各井口之间的连接道路，全长约3512.17m，路面宽度平均为6.0m，占地面积1.8913hm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bookmarkEnd w:id="4"/>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利旧</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494"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tcBorders>
              <w:top w:val="single" w:color="000000" w:sz="2" w:space="0"/>
            </w:tcBorders>
            <w:noWrap w:val="0"/>
            <w:vAlign w:val="center"/>
          </w:tcPr>
          <w:p>
            <w:pPr>
              <w:spacing w:line="0" w:lineRule="atLeast"/>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废石场</w:t>
            </w:r>
          </w:p>
        </w:tc>
        <w:tc>
          <w:tcPr>
            <w:tcW w:w="11432" w:type="dxa"/>
            <w:noWrap w:val="0"/>
            <w:vAlign w:val="center"/>
          </w:tcPr>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捷大坂矿区临时废石场</w:t>
            </w:r>
            <w:r>
              <w:rPr>
                <w:rFonts w:hint="default" w:ascii="Times New Roman" w:hAnsi="Times New Roman" w:cs="Times New Roman"/>
                <w:color w:val="auto"/>
                <w:sz w:val="21"/>
                <w:szCs w:val="21"/>
                <w:lang w:val="zh-CN"/>
              </w:rPr>
              <w:t>布置于</w:t>
            </w:r>
            <w:r>
              <w:rPr>
                <w:rFonts w:hint="default" w:ascii="Times New Roman" w:hAnsi="Times New Roman" w:cs="Times New Roman"/>
                <w:color w:val="auto"/>
                <w:sz w:val="21"/>
                <w:szCs w:val="21"/>
              </w:rPr>
              <w:t>采矿工业场地北侧</w:t>
            </w:r>
            <w:r>
              <w:rPr>
                <w:rFonts w:hint="default" w:ascii="Times New Roman" w:hAnsi="Times New Roman" w:cs="Times New Roman"/>
                <w:color w:val="auto"/>
                <w:sz w:val="21"/>
                <w:szCs w:val="21"/>
                <w:lang w:val="zh-CN"/>
              </w:rPr>
              <w:t>，占地面积</w:t>
            </w:r>
            <w:r>
              <w:rPr>
                <w:rFonts w:hint="default" w:ascii="Times New Roman" w:hAnsi="Times New Roman" w:cs="Times New Roman"/>
                <w:color w:val="auto"/>
                <w:sz w:val="21"/>
                <w:szCs w:val="21"/>
              </w:rPr>
              <w:t>915m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；西车路沟矿区临时废石场</w:t>
            </w:r>
            <w:r>
              <w:rPr>
                <w:rFonts w:hint="default" w:ascii="Times New Roman" w:hAnsi="Times New Roman" w:cs="Times New Roman"/>
                <w:color w:val="auto"/>
                <w:sz w:val="21"/>
                <w:szCs w:val="21"/>
                <w:lang w:val="zh-CN"/>
              </w:rPr>
              <w:t>布置于</w:t>
            </w:r>
            <w:r>
              <w:rPr>
                <w:rFonts w:hint="default" w:ascii="Times New Roman" w:hAnsi="Times New Roman" w:cs="Times New Roman"/>
                <w:color w:val="auto"/>
                <w:sz w:val="21"/>
                <w:szCs w:val="21"/>
              </w:rPr>
              <w:t>采矿工业场地北侧</w:t>
            </w:r>
            <w:r>
              <w:rPr>
                <w:rFonts w:hint="default" w:ascii="Times New Roman" w:hAnsi="Times New Roman" w:cs="Times New Roman"/>
                <w:color w:val="auto"/>
                <w:sz w:val="21"/>
                <w:szCs w:val="21"/>
                <w:lang w:val="zh-CN"/>
              </w:rPr>
              <w:t>，占地面积</w:t>
            </w:r>
            <w:r>
              <w:rPr>
                <w:rFonts w:hint="default" w:ascii="Times New Roman" w:hAnsi="Times New Roman" w:cs="Times New Roman"/>
                <w:color w:val="auto"/>
                <w:sz w:val="21"/>
                <w:szCs w:val="21"/>
              </w:rPr>
              <w:t>610m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445"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爆破材料库</w:t>
            </w:r>
          </w:p>
        </w:tc>
        <w:tc>
          <w:tcPr>
            <w:tcW w:w="11432" w:type="dxa"/>
            <w:noWrap w:val="0"/>
            <w:vAlign w:val="center"/>
          </w:tcPr>
          <w:p>
            <w:pPr>
              <w:spacing w:line="0" w:lineRule="atLeas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w:t>
            </w:r>
            <w:r>
              <w:rPr>
                <w:rFonts w:hint="default" w:ascii="Times New Roman" w:hAnsi="Times New Roman" w:cs="Times New Roman"/>
                <w:color w:val="auto"/>
                <w:kern w:val="0"/>
                <w:sz w:val="21"/>
                <w:szCs w:val="21"/>
                <w:lang w:val="zh-CN"/>
              </w:rPr>
              <w:t>矿山不设炸药库，</w:t>
            </w:r>
            <w:r>
              <w:rPr>
                <w:rFonts w:hint="default" w:ascii="Times New Roman" w:hAnsi="Times New Roman" w:cs="Times New Roman"/>
                <w:color w:val="auto"/>
                <w:kern w:val="0"/>
                <w:sz w:val="21"/>
                <w:szCs w:val="21"/>
              </w:rPr>
              <w:t>依托</w:t>
            </w:r>
            <w:r>
              <w:rPr>
                <w:rFonts w:hint="default" w:ascii="Times New Roman" w:hAnsi="Times New Roman" w:cs="Times New Roman"/>
                <w:color w:val="auto"/>
                <w:kern w:val="0"/>
                <w:sz w:val="21"/>
                <w:szCs w:val="21"/>
                <w:lang w:val="zh-CN"/>
              </w:rPr>
              <w:t>昌马金矿炸药库</w:t>
            </w:r>
            <w:r>
              <w:rPr>
                <w:rFonts w:hint="default" w:ascii="Times New Roman" w:hAnsi="Times New Roman" w:cs="Times New Roman"/>
                <w:color w:val="auto"/>
                <w:kern w:val="0"/>
                <w:sz w:val="21"/>
                <w:szCs w:val="21"/>
              </w:rPr>
              <w:t>。</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448"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noWrap w:val="0"/>
            <w:vAlign w:val="center"/>
          </w:tcPr>
          <w:p>
            <w:pPr>
              <w:spacing w:line="0" w:lineRule="atLeas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原矿集矿仓</w:t>
            </w:r>
          </w:p>
        </w:tc>
        <w:tc>
          <w:tcPr>
            <w:tcW w:w="11432" w:type="dxa"/>
            <w:noWrap w:val="0"/>
            <w:vAlign w:val="center"/>
          </w:tcPr>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捷大坂矿区</w:t>
            </w:r>
            <w:r>
              <w:rPr>
                <w:rFonts w:hint="default" w:ascii="Times New Roman" w:hAnsi="Times New Roman" w:cs="Times New Roman"/>
                <w:color w:val="auto"/>
                <w:sz w:val="21"/>
                <w:szCs w:val="21"/>
                <w:lang w:eastAsia="zh-CN"/>
              </w:rPr>
              <w:t>原矿集矿仓</w:t>
            </w:r>
            <w:r>
              <w:rPr>
                <w:rFonts w:hint="default" w:ascii="Times New Roman" w:hAnsi="Times New Roman" w:cs="Times New Roman"/>
                <w:color w:val="auto"/>
                <w:sz w:val="21"/>
                <w:szCs w:val="21"/>
              </w:rPr>
              <w:t>位于平硐口附近，占地面积</w:t>
            </w:r>
            <w:r>
              <w:rPr>
                <w:rFonts w:hint="default" w:ascii="Times New Roman" w:hAnsi="Times New Roman" w:cs="Times New Roman"/>
                <w:color w:val="auto"/>
                <w:sz w:val="21"/>
                <w:szCs w:val="21"/>
                <w:lang w:val="en-US" w:eastAsia="zh-CN"/>
              </w:rPr>
              <w:t>260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，用于矿石转运；西车路沟矿区</w:t>
            </w:r>
            <w:r>
              <w:rPr>
                <w:rFonts w:hint="default" w:ascii="Times New Roman" w:hAnsi="Times New Roman" w:cs="Times New Roman"/>
                <w:color w:val="auto"/>
                <w:sz w:val="21"/>
                <w:szCs w:val="21"/>
                <w:lang w:eastAsia="zh-CN"/>
              </w:rPr>
              <w:t>原矿集矿仓</w:t>
            </w:r>
            <w:r>
              <w:rPr>
                <w:rFonts w:hint="default" w:ascii="Times New Roman" w:hAnsi="Times New Roman" w:cs="Times New Roman"/>
                <w:color w:val="auto"/>
                <w:sz w:val="21"/>
                <w:szCs w:val="21"/>
              </w:rPr>
              <w:t>位于斜井口附近，占地面积</w:t>
            </w:r>
            <w:r>
              <w:rPr>
                <w:rFonts w:hint="default" w:ascii="Times New Roman" w:hAnsi="Times New Roman" w:cs="Times New Roman"/>
                <w:color w:val="auto"/>
                <w:sz w:val="21"/>
                <w:szCs w:val="21"/>
                <w:lang w:val="en-US" w:eastAsia="zh-CN"/>
              </w:rPr>
              <w:t>90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，用于矿石转运。</w:t>
            </w:r>
          </w:p>
        </w:tc>
        <w:tc>
          <w:tcPr>
            <w:tcW w:w="676" w:type="dxa"/>
            <w:noWrap w:val="0"/>
            <w:vAlign w:val="center"/>
          </w:tcPr>
          <w:p>
            <w:pPr>
              <w:autoSpaceDE w:val="0"/>
              <w:autoSpaceDN w:val="0"/>
              <w:adjustRightInd w:val="0"/>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521" w:hRule="atLeast"/>
        </w:trPr>
        <w:tc>
          <w:tcPr>
            <w:tcW w:w="826" w:type="dxa"/>
            <w:vMerge w:val="restart"/>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w:t>
            </w:r>
          </w:p>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906" w:type="dxa"/>
            <w:vMerge w:val="restart"/>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供水</w:t>
            </w:r>
          </w:p>
        </w:tc>
        <w:tc>
          <w:tcPr>
            <w:tcW w:w="11432" w:type="dxa"/>
            <w:tcBorders>
              <w:bottom w:val="single" w:color="auto" w:sz="4" w:space="0"/>
            </w:tcBorders>
            <w:noWrap w:val="0"/>
            <w:vAlign w:val="center"/>
          </w:tcPr>
          <w:p>
            <w:pPr>
              <w:autoSpaceDE w:val="0"/>
              <w:autoSpaceDN w:val="0"/>
              <w:adjustRightInd w:val="0"/>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生产用水采用矿井涌水水，具体为：</w:t>
            </w:r>
            <w:r>
              <w:rPr>
                <w:rFonts w:hint="default" w:ascii="Times New Roman" w:hAnsi="Times New Roman" w:cs="Times New Roman"/>
                <w:color w:val="auto"/>
                <w:sz w:val="21"/>
                <w:szCs w:val="21"/>
                <w:lang w:val="zh-CN"/>
              </w:rPr>
              <w:t>西车路沟矿段采区采用斜井开拓，井下各中段涌水和采矿废水聚集至斜井井底水仓后通过斜井排出至</w:t>
            </w:r>
            <w:r>
              <w:rPr>
                <w:rFonts w:hint="default" w:ascii="Times New Roman" w:hAnsi="Times New Roman" w:cs="Times New Roman"/>
                <w:color w:val="auto"/>
                <w:sz w:val="21"/>
                <w:szCs w:val="21"/>
              </w:rPr>
              <w:t>斜井口附近防渗高位水池（150m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），输送于西车路沟矿区采矿各中段用水和洒水降尘</w:t>
            </w:r>
            <w:r>
              <w:rPr>
                <w:rFonts w:hint="default" w:ascii="Times New Roman" w:hAnsi="Times New Roman" w:cs="Times New Roman"/>
                <w:color w:val="auto"/>
                <w:sz w:val="21"/>
                <w:szCs w:val="21"/>
                <w:lang w:val="zh-CN"/>
              </w:rPr>
              <w:t>。捷大坂矿段采区井下各中段涌水和采矿废水聚集至盲斜井井底水仓后通过盲斜井排至平硐然后通过平硐水沟自流排至</w:t>
            </w:r>
            <w:r>
              <w:rPr>
                <w:rFonts w:hint="default" w:ascii="Times New Roman" w:hAnsi="Times New Roman" w:cs="Times New Roman"/>
                <w:color w:val="auto"/>
                <w:sz w:val="21"/>
                <w:szCs w:val="21"/>
              </w:rPr>
              <w:t>平硐口附近防渗高位水池（200m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），输送于</w:t>
            </w:r>
            <w:r>
              <w:rPr>
                <w:rFonts w:hint="default" w:ascii="Times New Roman" w:hAnsi="Times New Roman" w:cs="Times New Roman"/>
                <w:color w:val="auto"/>
                <w:sz w:val="21"/>
                <w:szCs w:val="21"/>
                <w:lang w:val="zh-CN"/>
              </w:rPr>
              <w:t>捷大坂</w:t>
            </w:r>
            <w:r>
              <w:rPr>
                <w:rFonts w:hint="default" w:ascii="Times New Roman" w:hAnsi="Times New Roman" w:cs="Times New Roman"/>
                <w:color w:val="auto"/>
                <w:sz w:val="21"/>
                <w:szCs w:val="21"/>
              </w:rPr>
              <w:t>矿区采矿各中段用水和洒水降尘。</w:t>
            </w:r>
          </w:p>
        </w:tc>
        <w:tc>
          <w:tcPr>
            <w:tcW w:w="676" w:type="dxa"/>
            <w:noWrap w:val="0"/>
            <w:vAlign w:val="center"/>
          </w:tcPr>
          <w:p>
            <w:pPr>
              <w:autoSpaceDE w:val="0"/>
              <w:autoSpaceDN w:val="0"/>
              <w:adjustRightInd w:val="0"/>
              <w:spacing w:line="0" w:lineRule="atLeast"/>
              <w:ind w:firstLine="360"/>
              <w:jc w:val="center"/>
              <w:rPr>
                <w:rFonts w:hint="default" w:ascii="Times New Roman" w:hAnsi="Times New Roman" w:cs="Times New Roman"/>
                <w:color w:val="auto"/>
                <w:sz w:val="21"/>
                <w:szCs w:val="21"/>
              </w:rPr>
            </w:pPr>
          </w:p>
          <w:p>
            <w:pPr>
              <w:autoSpaceDE w:val="0"/>
              <w:autoSpaceDN w:val="0"/>
              <w:adjustRightInd w:val="0"/>
              <w:spacing w:line="0" w:lineRule="atLeas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276"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11432" w:type="dxa"/>
            <w:tcBorders>
              <w:top w:val="single" w:color="auto" w:sz="4" w:space="0"/>
            </w:tcBorders>
            <w:noWrap w:val="0"/>
            <w:vAlign w:val="center"/>
          </w:tcPr>
          <w:p>
            <w:pPr>
              <w:autoSpaceDE w:val="0"/>
              <w:autoSpaceDN w:val="0"/>
              <w:adjustRightInd w:val="0"/>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生活用水，</w:t>
            </w:r>
            <w:r>
              <w:rPr>
                <w:rFonts w:hint="default" w:ascii="Times New Roman" w:hAnsi="Times New Roman" w:cs="Times New Roman"/>
                <w:color w:val="auto"/>
                <w:kern w:val="0"/>
                <w:sz w:val="21"/>
                <w:szCs w:val="21"/>
              </w:rPr>
              <w:t>依托昌马金矿生活区。</w:t>
            </w:r>
          </w:p>
        </w:tc>
        <w:tc>
          <w:tcPr>
            <w:tcW w:w="676" w:type="dxa"/>
            <w:noWrap w:val="0"/>
            <w:vAlign w:val="center"/>
          </w:tcPr>
          <w:p>
            <w:pPr>
              <w:autoSpaceDE w:val="0"/>
              <w:autoSpaceDN w:val="0"/>
              <w:adjustRightInd w:val="0"/>
              <w:spacing w:line="0" w:lineRule="atLeas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依托</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218"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11432" w:type="dxa"/>
            <w:noWrap w:val="0"/>
            <w:vAlign w:val="center"/>
          </w:tcPr>
          <w:p>
            <w:pPr>
              <w:autoSpaceDE w:val="0"/>
              <w:autoSpaceDN w:val="0"/>
              <w:adjustRightInd w:val="0"/>
              <w:spacing w:line="0" w:lineRule="atLeast"/>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矿区建设有35kv供电线路，</w:t>
            </w:r>
            <w:r>
              <w:rPr>
                <w:rFonts w:hint="default" w:ascii="Times New Roman" w:hAnsi="Times New Roman" w:cs="Times New Roman"/>
                <w:color w:val="auto"/>
                <w:kern w:val="0"/>
                <w:sz w:val="21"/>
                <w:szCs w:val="21"/>
              </w:rPr>
              <w:t>由矿区的35kV总降压变电站引1回10KV架空线路至采矿区的10KV配电室，可以满足采矿生产需要。</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265"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供暖</w:t>
            </w:r>
          </w:p>
        </w:tc>
        <w:tc>
          <w:tcPr>
            <w:tcW w:w="11432" w:type="dxa"/>
            <w:noWrap w:val="0"/>
            <w:vAlign w:val="center"/>
          </w:tcPr>
          <w:p>
            <w:pPr>
              <w:spacing w:line="0" w:lineRule="atLeast"/>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本项目采矿为地下开采，不需要供热，</w:t>
            </w:r>
            <w:r>
              <w:rPr>
                <w:rFonts w:hint="default" w:ascii="Times New Roman" w:hAnsi="Times New Roman" w:cs="Times New Roman"/>
                <w:color w:val="auto"/>
                <w:sz w:val="21"/>
                <w:szCs w:val="21"/>
              </w:rPr>
              <w:t>冬季生活取暖依托昌马金矿</w:t>
            </w:r>
            <w:r>
              <w:rPr>
                <w:rFonts w:hint="default" w:ascii="Times New Roman" w:hAnsi="Times New Roman" w:cs="Times New Roman"/>
                <w:color w:val="auto"/>
                <w:sz w:val="21"/>
                <w:szCs w:val="21"/>
                <w:lang w:val="zh-CN"/>
              </w:rPr>
              <w:t>电取暖</w:t>
            </w:r>
            <w:r>
              <w:rPr>
                <w:rFonts w:hint="default" w:ascii="Times New Roman" w:hAnsi="Times New Roman" w:cs="Times New Roman"/>
                <w:color w:val="auto"/>
                <w:kern w:val="0"/>
                <w:sz w:val="21"/>
                <w:szCs w:val="21"/>
                <w:lang w:val="zh-CN"/>
              </w:rPr>
              <w:t>。</w:t>
            </w:r>
            <w:r>
              <w:rPr>
                <w:rFonts w:hint="default" w:ascii="Times New Roman" w:hAnsi="Times New Roman" w:cs="Times New Roman"/>
                <w:color w:val="auto"/>
                <w:sz w:val="21"/>
                <w:szCs w:val="21"/>
                <w:lang w:val="zh-CN"/>
              </w:rPr>
              <w:t xml:space="preserve"> </w:t>
            </w:r>
          </w:p>
        </w:tc>
        <w:tc>
          <w:tcPr>
            <w:tcW w:w="676" w:type="dxa"/>
            <w:noWrap w:val="0"/>
            <w:vAlign w:val="center"/>
          </w:tcPr>
          <w:p>
            <w:pPr>
              <w:autoSpaceDE w:val="0"/>
              <w:autoSpaceDN w:val="0"/>
              <w:adjustRightInd w:val="0"/>
              <w:spacing w:line="0" w:lineRule="atLeast"/>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依托</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265"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供油</w:t>
            </w:r>
          </w:p>
        </w:tc>
        <w:tc>
          <w:tcPr>
            <w:tcW w:w="11432" w:type="dxa"/>
            <w:noWrap w:val="0"/>
            <w:vAlign w:val="center"/>
          </w:tcPr>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本项目位于昌马镇，矿区南侧有简易公路通过，交通便利，5km范围内有加油站分布，定期由加油站车辆配送油品，不建设供油设施。</w:t>
            </w:r>
          </w:p>
        </w:tc>
        <w:tc>
          <w:tcPr>
            <w:tcW w:w="676" w:type="dxa"/>
            <w:noWrap w:val="0"/>
            <w:vAlign w:val="center"/>
          </w:tcPr>
          <w:p>
            <w:pPr>
              <w:autoSpaceDE w:val="0"/>
              <w:autoSpaceDN w:val="0"/>
              <w:adjustRightInd w:val="0"/>
              <w:spacing w:line="0" w:lineRule="atLeast"/>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114"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供气</w:t>
            </w:r>
          </w:p>
        </w:tc>
        <w:tc>
          <w:tcPr>
            <w:tcW w:w="11432" w:type="dxa"/>
            <w:noWrap w:val="0"/>
            <w:vAlign w:val="center"/>
          </w:tcPr>
          <w:p>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捷大坂矿段最大耗气量：Q</w:t>
            </w:r>
            <w:r>
              <w:rPr>
                <w:rFonts w:hint="default" w:ascii="Times New Roman" w:hAnsi="Times New Roman" w:cs="Times New Roman"/>
                <w:color w:val="auto"/>
                <w:sz w:val="21"/>
                <w:szCs w:val="21"/>
                <w:vertAlign w:val="subscript"/>
              </w:rPr>
              <w:t>max</w:t>
            </w:r>
            <w:r>
              <w:rPr>
                <w:rFonts w:hint="default" w:ascii="Times New Roman" w:hAnsi="Times New Roman" w:cs="Times New Roman"/>
                <w:color w:val="auto"/>
                <w:sz w:val="21"/>
                <w:szCs w:val="21"/>
              </w:rPr>
              <w:t>=34.5m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/min，配置3台16m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/min螺杆式空压机；西车路沟矿段最大耗气量：Q</w:t>
            </w:r>
            <w:r>
              <w:rPr>
                <w:rFonts w:hint="default" w:ascii="Times New Roman" w:hAnsi="Times New Roman" w:cs="Times New Roman"/>
                <w:color w:val="auto"/>
                <w:sz w:val="21"/>
                <w:szCs w:val="21"/>
                <w:vertAlign w:val="subscript"/>
              </w:rPr>
              <w:t>max</w:t>
            </w:r>
            <w:r>
              <w:rPr>
                <w:rFonts w:hint="default" w:ascii="Times New Roman" w:hAnsi="Times New Roman" w:cs="Times New Roman"/>
                <w:color w:val="auto"/>
                <w:sz w:val="21"/>
                <w:szCs w:val="21"/>
              </w:rPr>
              <w:t>=14.63m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/min，配置1台16m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 xml:space="preserve">/min螺杆式空压机。 </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433"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通风</w:t>
            </w:r>
          </w:p>
        </w:tc>
        <w:tc>
          <w:tcPr>
            <w:tcW w:w="11432" w:type="dxa"/>
            <w:noWrap w:val="0"/>
            <w:vAlign w:val="center"/>
          </w:tcPr>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捷大坂矿区新鲜风流由阶段平硐-盲斜井进入，通过各中段穿脉巷道，至各中段需风点，清洗工作面后，经回风巷道通过回风井排出地表。</w:t>
            </w:r>
          </w:p>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车路沟矿区通风网路采用对角单翼式；新鲜风流经斜井进入到中段运输巷道，沿中段巷道经人行通风天井进入采场，清洗工作面后，由采场局扇将污风排至上中段回风道，然后经过上中段回风道通过回风井排出地表。</w:t>
            </w:r>
          </w:p>
        </w:tc>
        <w:tc>
          <w:tcPr>
            <w:tcW w:w="676" w:type="dxa"/>
            <w:noWrap w:val="0"/>
            <w:vAlign w:val="center"/>
          </w:tcPr>
          <w:p>
            <w:pPr>
              <w:autoSpaceDE w:val="0"/>
              <w:autoSpaceDN w:val="0"/>
              <w:adjustRightInd w:val="0"/>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521" w:hRule="atLeast"/>
        </w:trPr>
        <w:tc>
          <w:tcPr>
            <w:tcW w:w="826" w:type="dxa"/>
            <w:vMerge w:val="restart"/>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w:t>
            </w:r>
          </w:p>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90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1432" w:type="dxa"/>
            <w:noWrap w:val="0"/>
            <w:vAlign w:val="center"/>
          </w:tcPr>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采矿区爆破、凿岩粉尘采取强制通风+湿法凿岩+喷雾器系统。废石场</w:t>
            </w:r>
            <w:r>
              <w:rPr>
                <w:rFonts w:hint="default" w:ascii="Times New Roman" w:hAnsi="Times New Roman" w:cs="Times New Roman"/>
                <w:color w:val="auto"/>
                <w:sz w:val="21"/>
                <w:szCs w:val="21"/>
              </w:rPr>
              <w:t>定时雾炮洒水、苫盖抑尘网。</w:t>
            </w:r>
            <w:r>
              <w:rPr>
                <w:rFonts w:hint="default" w:ascii="Times New Roman" w:hAnsi="Times New Roman" w:cs="Times New Roman"/>
                <w:color w:val="auto"/>
                <w:sz w:val="21"/>
                <w:szCs w:val="21"/>
                <w:lang w:val="zh-CN"/>
              </w:rPr>
              <w:t>矿区运输道路采取</w:t>
            </w:r>
            <w:r>
              <w:rPr>
                <w:rFonts w:hint="default" w:ascii="Times New Roman" w:hAnsi="Times New Roman" w:cs="Times New Roman"/>
                <w:color w:val="auto"/>
                <w:sz w:val="21"/>
                <w:szCs w:val="21"/>
              </w:rPr>
              <w:t>车辆密闭遮盖、道路洒水降尘</w:t>
            </w:r>
            <w:r>
              <w:rPr>
                <w:rFonts w:hint="default" w:ascii="Times New Roman" w:hAnsi="Times New Roman" w:cs="Times New Roman"/>
                <w:color w:val="auto"/>
                <w:sz w:val="21"/>
                <w:szCs w:val="21"/>
                <w:lang w:val="zh-CN"/>
              </w:rPr>
              <w:t>抑尘。原矿集矿仓设置为半封闭地沉式集矿仓（三面封闭+软帘+顶棚），设置喷淋设施。铲装扬尘采用洒水抑尘</w:t>
            </w:r>
            <w:bookmarkStart w:id="5" w:name="_Hlk47822847"/>
            <w:r>
              <w:rPr>
                <w:rFonts w:hint="default" w:ascii="Times New Roman" w:hAnsi="Times New Roman" w:cs="Times New Roman"/>
                <w:color w:val="auto"/>
                <w:sz w:val="21"/>
                <w:szCs w:val="21"/>
              </w:rPr>
              <w:t>。</w:t>
            </w:r>
            <w:bookmarkEnd w:id="5"/>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757"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vMerge w:val="restart"/>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1432" w:type="dxa"/>
            <w:tcBorders>
              <w:bottom w:val="single" w:color="auto" w:sz="4" w:space="0"/>
            </w:tcBorders>
            <w:noWrap w:val="0"/>
            <w:vAlign w:val="center"/>
          </w:tcPr>
          <w:p>
            <w:pPr>
              <w:autoSpaceDE w:val="0"/>
              <w:autoSpaceDN w:val="0"/>
              <w:adjustRightInd w:val="0"/>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生产废水主要为凿岩、喷雾产生的生产废水以及开采形成的矿井涌水。西车路沟矿段井下各中段涌水和采矿废水聚集至斜井井底水仓后通过斜井排出至斜井口附近矿井废水处理站，处理规模80m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/d，采用混凝沉淀+过滤处理工艺，处理达后排入防渗高位水池（容积150m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），回用于西车路沟矿区采矿各中段用水和洒水降尘，不外排。</w:t>
            </w:r>
          </w:p>
          <w:p>
            <w:pPr>
              <w:autoSpaceDE w:val="0"/>
              <w:autoSpaceDN w:val="0"/>
              <w:adjustRightInd w:val="0"/>
              <w:spacing w:line="0" w:lineRule="atLeast"/>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捷大坂矿段井下各中段涌水和采矿废水聚集至盲斜井井底水仓后通过盲斜井排至平硐然后通过水沟自流排至平硐口附近矿井废水处理站，处理规模100m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/d，采用混凝沉淀+过滤处理工艺，经处理达标后排入防渗高位水池（容积200m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），回用于</w:t>
            </w:r>
            <w:r>
              <w:rPr>
                <w:rFonts w:hint="default" w:ascii="Times New Roman" w:hAnsi="Times New Roman" w:cs="Times New Roman"/>
                <w:color w:val="auto"/>
                <w:sz w:val="21"/>
                <w:szCs w:val="21"/>
                <w:lang w:val="zh-CN"/>
              </w:rPr>
              <w:t>捷大坂</w:t>
            </w:r>
            <w:r>
              <w:rPr>
                <w:rFonts w:hint="default" w:ascii="Times New Roman" w:hAnsi="Times New Roman" w:cs="Times New Roman"/>
                <w:color w:val="auto"/>
                <w:sz w:val="21"/>
                <w:szCs w:val="21"/>
              </w:rPr>
              <w:t>矿区采矿各中段用水和洒水降尘，不外排。</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276"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11432" w:type="dxa"/>
            <w:tcBorders>
              <w:top w:val="single" w:color="auto" w:sz="4" w:space="0"/>
            </w:tcBorders>
            <w:noWrap w:val="0"/>
            <w:vAlign w:val="center"/>
          </w:tcPr>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生活污水依托昌马金矿生活区</w:t>
            </w:r>
            <w:r>
              <w:rPr>
                <w:rFonts w:hint="default" w:ascii="Times New Roman" w:hAnsi="Times New Roman" w:cs="Times New Roman"/>
                <w:color w:val="auto"/>
                <w:kern w:val="0"/>
                <w:sz w:val="21"/>
                <w:szCs w:val="21"/>
              </w:rPr>
              <w:t>化粪池+一体化污水处理设施(A/O生物接触氧化工艺)，处理达标用于绿化，不外排。</w:t>
            </w:r>
          </w:p>
        </w:tc>
        <w:tc>
          <w:tcPr>
            <w:tcW w:w="67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52"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noWrap w:val="0"/>
            <w:vAlign w:val="center"/>
          </w:tcPr>
          <w:p>
            <w:pPr>
              <w:autoSpaceDE w:val="0"/>
              <w:autoSpaceDN w:val="0"/>
              <w:adjustRightInd w:val="0"/>
              <w:spacing w:line="0" w:lineRule="atLeast"/>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噪声</w:t>
            </w:r>
          </w:p>
        </w:tc>
        <w:tc>
          <w:tcPr>
            <w:tcW w:w="11432" w:type="dxa"/>
            <w:noWrap w:val="0"/>
            <w:vAlign w:val="center"/>
          </w:tcPr>
          <w:p>
            <w:pPr>
              <w:spacing w:line="0" w:lineRule="atLeast"/>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空压机站、空压机、通风机房、通风机</w:t>
            </w:r>
            <w:r>
              <w:rPr>
                <w:rFonts w:hint="default" w:ascii="Times New Roman" w:hAnsi="Times New Roman" w:cs="Times New Roman"/>
                <w:color w:val="auto"/>
                <w:sz w:val="21"/>
                <w:szCs w:val="21"/>
              </w:rPr>
              <w:t>等</w:t>
            </w:r>
            <w:r>
              <w:rPr>
                <w:rFonts w:hint="default" w:ascii="Times New Roman" w:hAnsi="Times New Roman" w:cs="Times New Roman"/>
                <w:color w:val="auto"/>
                <w:sz w:val="21"/>
                <w:szCs w:val="21"/>
                <w:lang w:val="zh-CN"/>
              </w:rPr>
              <w:t>采取隔声、减振、消声等措施。</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291" w:hRule="atLeast"/>
        </w:trPr>
        <w:tc>
          <w:tcPr>
            <w:tcW w:w="826" w:type="dxa"/>
            <w:vMerge w:val="continue"/>
            <w:noWrap w:val="0"/>
            <w:vAlign w:val="center"/>
          </w:tcPr>
          <w:p>
            <w:pPr>
              <w:spacing w:line="0" w:lineRule="atLeast"/>
              <w:ind w:firstLine="360"/>
              <w:jc w:val="center"/>
              <w:rPr>
                <w:rFonts w:hint="default" w:ascii="Times New Roman" w:hAnsi="Times New Roman" w:cs="Times New Roman"/>
                <w:color w:val="auto"/>
                <w:sz w:val="21"/>
                <w:szCs w:val="21"/>
              </w:rPr>
            </w:pPr>
          </w:p>
        </w:tc>
        <w:tc>
          <w:tcPr>
            <w:tcW w:w="906" w:type="dxa"/>
            <w:vMerge w:val="restart"/>
            <w:noWrap w:val="0"/>
            <w:vAlign w:val="center"/>
          </w:tcPr>
          <w:p>
            <w:pPr>
              <w:autoSpaceDE w:val="0"/>
              <w:autoSpaceDN w:val="0"/>
              <w:adjustRightInd w:val="0"/>
              <w:spacing w:line="0" w:lineRule="atLeast"/>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固废</w:t>
            </w:r>
          </w:p>
        </w:tc>
        <w:tc>
          <w:tcPr>
            <w:tcW w:w="11432" w:type="dxa"/>
            <w:noWrap w:val="0"/>
            <w:vAlign w:val="center"/>
          </w:tcPr>
          <w:p>
            <w:pPr>
              <w:spacing w:line="0" w:lineRule="atLeast"/>
              <w:contextualSpacing/>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生活垃圾依托昌马金矿生活区垃圾收集箱收集，定期送往当地生活垃圾收集点，由环卫部门集中收集卫生填埋处理。</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315" w:hRule="atLeast"/>
        </w:trPr>
        <w:tc>
          <w:tcPr>
            <w:tcW w:w="826" w:type="dxa"/>
            <w:vMerge w:val="continue"/>
            <w:noWrap w:val="0"/>
            <w:vAlign w:val="center"/>
          </w:tcPr>
          <w:p>
            <w:pPr>
              <w:spacing w:line="0" w:lineRule="atLeast"/>
              <w:jc w:val="center"/>
              <w:rPr>
                <w:rFonts w:hint="default" w:ascii="Times New Roman" w:hAnsi="Times New Roman" w:cs="Times New Roman"/>
                <w:color w:val="auto"/>
                <w:sz w:val="21"/>
                <w:szCs w:val="21"/>
              </w:rPr>
            </w:pPr>
          </w:p>
        </w:tc>
        <w:tc>
          <w:tcPr>
            <w:tcW w:w="906" w:type="dxa"/>
            <w:vMerge w:val="continue"/>
            <w:noWrap w:val="0"/>
            <w:vAlign w:val="center"/>
          </w:tcPr>
          <w:p>
            <w:pPr>
              <w:spacing w:line="0" w:lineRule="atLeast"/>
              <w:jc w:val="center"/>
              <w:rPr>
                <w:rFonts w:hint="default" w:ascii="Times New Roman" w:hAnsi="Times New Roman" w:cs="Times New Roman"/>
                <w:color w:val="auto"/>
                <w:sz w:val="21"/>
                <w:szCs w:val="21"/>
              </w:rPr>
            </w:pPr>
          </w:p>
        </w:tc>
        <w:tc>
          <w:tcPr>
            <w:tcW w:w="11432" w:type="dxa"/>
            <w:noWrap w:val="0"/>
            <w:vAlign w:val="center"/>
          </w:tcPr>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运营期废石不出井直接全部用于井下采空区回填。</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544" w:hRule="atLeast"/>
        </w:trPr>
        <w:tc>
          <w:tcPr>
            <w:tcW w:w="826" w:type="dxa"/>
            <w:vMerge w:val="continue"/>
            <w:noWrap w:val="0"/>
            <w:vAlign w:val="center"/>
          </w:tcPr>
          <w:p>
            <w:pPr>
              <w:spacing w:line="0" w:lineRule="atLeast"/>
              <w:jc w:val="center"/>
              <w:rPr>
                <w:rFonts w:hint="default" w:ascii="Times New Roman" w:hAnsi="Times New Roman" w:cs="Times New Roman"/>
                <w:color w:val="auto"/>
                <w:sz w:val="21"/>
                <w:szCs w:val="21"/>
              </w:rPr>
            </w:pPr>
          </w:p>
        </w:tc>
        <w:tc>
          <w:tcPr>
            <w:tcW w:w="906" w:type="dxa"/>
            <w:vMerge w:val="continue"/>
            <w:noWrap w:val="0"/>
            <w:vAlign w:val="center"/>
          </w:tcPr>
          <w:p>
            <w:pPr>
              <w:spacing w:line="0" w:lineRule="atLeast"/>
              <w:jc w:val="center"/>
              <w:rPr>
                <w:rFonts w:hint="default" w:ascii="Times New Roman" w:hAnsi="Times New Roman" w:cs="Times New Roman"/>
                <w:color w:val="auto"/>
                <w:sz w:val="21"/>
                <w:szCs w:val="21"/>
              </w:rPr>
            </w:pPr>
          </w:p>
        </w:tc>
        <w:tc>
          <w:tcPr>
            <w:tcW w:w="11432" w:type="dxa"/>
            <w:noWrap w:val="0"/>
            <w:vAlign w:val="center"/>
          </w:tcPr>
          <w:p>
            <w:pPr>
              <w:spacing w:line="0" w:lineRule="atLeas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探矿炸药库按《危险废物贮存污染控制标准》（GB18597-2023）改造后作为本项目危废暂存间（</w:t>
            </w:r>
            <w:r>
              <w:rPr>
                <w:rFonts w:hint="default" w:ascii="Times New Roman" w:hAnsi="Times New Roman" w:cs="Times New Roman"/>
                <w:color w:val="auto"/>
                <w:sz w:val="21"/>
                <w:szCs w:val="21"/>
              </w:rPr>
              <w:t>两座50m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rPr>
              <w:t>废矿物机油、废铅蓄电池、矿井废水水处理设施及防渗高位水池污泥分类收集于危废暂存间，委托有资质单位处置。</w:t>
            </w:r>
          </w:p>
        </w:tc>
        <w:tc>
          <w:tcPr>
            <w:tcW w:w="676" w:type="dxa"/>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利旧改造</w:t>
            </w:r>
          </w:p>
        </w:tc>
      </w:tr>
    </w:tbl>
    <w:p>
      <w:pPr>
        <w:pStyle w:val="11"/>
        <w:jc w:val="both"/>
        <w:sectPr>
          <w:pgSz w:w="16838" w:h="11906" w:orient="landscape"/>
          <w:pgMar w:top="1758" w:right="1440" w:bottom="1803" w:left="1440" w:header="851" w:footer="992" w:gutter="0"/>
          <w:cols w:space="425" w:num="1"/>
          <w:docGrid w:type="lines" w:linePitch="312" w:charSpace="0"/>
        </w:sectPr>
      </w:pPr>
    </w:p>
    <w:p>
      <w:pPr>
        <w:pStyle w:val="29"/>
        <w:ind w:firstLine="0" w:firstLineChars="0"/>
        <w:outlineLvl w:val="0"/>
        <w:rPr>
          <w:rFonts w:ascii="Times New Roman"/>
          <w:b/>
          <w:color w:val="000000"/>
        </w:rPr>
      </w:pPr>
      <w:r>
        <w:rPr>
          <w:rFonts w:hint="eastAsia" w:ascii="Times New Roman"/>
          <w:b/>
          <w:color w:val="000000"/>
        </w:rPr>
        <w:t>2、首次环境影响评价信息公开情况</w:t>
      </w:r>
    </w:p>
    <w:p>
      <w:pPr>
        <w:pStyle w:val="29"/>
        <w:ind w:firstLine="0" w:firstLineChars="0"/>
        <w:outlineLvl w:val="1"/>
        <w:rPr>
          <w:rFonts w:ascii="Times New Roman"/>
          <w:b/>
          <w:color w:val="000000"/>
        </w:rPr>
      </w:pPr>
      <w:r>
        <w:rPr>
          <w:rFonts w:hint="eastAsia" w:ascii="Times New Roman"/>
          <w:b/>
          <w:color w:val="000000"/>
        </w:rPr>
        <w:t>2.1公开内容及日期</w:t>
      </w:r>
    </w:p>
    <w:p>
      <w:pPr>
        <w:pStyle w:val="29"/>
        <w:rPr>
          <w:rFonts w:ascii="Times New Roman"/>
          <w:bCs/>
          <w:color w:val="000000"/>
        </w:rPr>
      </w:pPr>
      <w:r>
        <w:rPr>
          <w:rFonts w:hint="eastAsia" w:ascii="Times New Roman"/>
          <w:bCs/>
          <w:color w:val="000000"/>
        </w:rPr>
        <w:t>按照《建设项目环境影响评价公众参与办法》要求，甘肃湛昌矿业有限责任公司于</w:t>
      </w:r>
      <w:r>
        <w:rPr>
          <w:rFonts w:hint="eastAsia" w:ascii="Times New Roman"/>
          <w:color w:val="000000"/>
        </w:rPr>
        <w:t>202</w:t>
      </w:r>
      <w:r>
        <w:rPr>
          <w:rFonts w:hint="eastAsia" w:ascii="Times New Roman"/>
          <w:color w:val="000000"/>
          <w:lang w:val="en-US" w:eastAsia="zh-CN"/>
        </w:rPr>
        <w:t>3</w:t>
      </w:r>
      <w:r>
        <w:rPr>
          <w:rFonts w:hint="eastAsia" w:ascii="Times New Roman"/>
          <w:color w:val="000000"/>
        </w:rPr>
        <w:t>年</w:t>
      </w:r>
      <w:r>
        <w:rPr>
          <w:rFonts w:hint="eastAsia" w:ascii="Times New Roman"/>
          <w:color w:val="000000"/>
          <w:lang w:val="en-US" w:eastAsia="zh-CN"/>
        </w:rPr>
        <w:t>2</w:t>
      </w:r>
      <w:r>
        <w:rPr>
          <w:rFonts w:hint="eastAsia" w:ascii="Times New Roman"/>
          <w:color w:val="000000"/>
        </w:rPr>
        <w:t>月</w:t>
      </w:r>
      <w:r>
        <w:rPr>
          <w:rFonts w:hint="eastAsia" w:ascii="Times New Roman"/>
          <w:color w:val="000000"/>
          <w:lang w:val="en-US" w:eastAsia="zh-CN"/>
        </w:rPr>
        <w:t>13</w:t>
      </w:r>
      <w:r>
        <w:rPr>
          <w:rFonts w:hint="eastAsia" w:ascii="Times New Roman"/>
          <w:color w:val="000000"/>
        </w:rPr>
        <w:t>日</w:t>
      </w:r>
      <w:r>
        <w:rPr>
          <w:rFonts w:hint="eastAsia" w:ascii="Times New Roman"/>
          <w:bCs/>
          <w:color w:val="000000"/>
        </w:rPr>
        <w:t>在</w:t>
      </w:r>
      <w:r>
        <w:rPr>
          <w:rFonts w:ascii="Times New Roman"/>
          <w:color w:val="000000"/>
        </w:rPr>
        <w:t>报告书编制初期</w:t>
      </w:r>
      <w:r>
        <w:rPr>
          <w:rFonts w:hint="eastAsia" w:ascii="Times New Roman"/>
          <w:color w:val="000000"/>
        </w:rPr>
        <w:t>在</w:t>
      </w:r>
      <w:r>
        <w:rPr>
          <w:rFonts w:hint="eastAsia" w:ascii="Times New Roman"/>
          <w:bCs/>
          <w:color w:val="000000"/>
          <w:lang w:val="en-US" w:eastAsia="zh-CN"/>
        </w:rPr>
        <w:t>建设单位集团公司</w:t>
      </w:r>
      <w:r>
        <w:rPr>
          <w:rFonts w:hint="eastAsia" w:ascii="Times New Roman"/>
          <w:bCs/>
          <w:color w:val="000000"/>
        </w:rPr>
        <w:t>网站</w:t>
      </w:r>
      <w:r>
        <w:rPr>
          <w:rFonts w:hint="eastAsia" w:ascii="Times New Roman"/>
          <w:bCs/>
          <w:color w:val="000000"/>
          <w:lang w:eastAsia="zh-CN"/>
        </w:rPr>
        <w:t>（三门峡</w:t>
      </w:r>
      <w:r>
        <w:rPr>
          <w:rFonts w:hint="eastAsia" w:ascii="Times New Roman"/>
          <w:bCs/>
          <w:color w:val="000000"/>
          <w:lang w:val="en-US" w:eastAsia="zh-CN"/>
        </w:rPr>
        <w:t>金渠集团有限公司</w:t>
      </w:r>
      <w:r>
        <w:rPr>
          <w:rFonts w:hint="eastAsia" w:ascii="Times New Roman"/>
          <w:bCs/>
          <w:color w:val="000000"/>
          <w:lang w:eastAsia="zh-CN"/>
        </w:rPr>
        <w:t>）</w:t>
      </w:r>
      <w:r>
        <w:rPr>
          <w:rFonts w:hint="eastAsia" w:ascii="Times New Roman"/>
          <w:bCs/>
          <w:color w:val="000000"/>
        </w:rPr>
        <w:t>进行了本项目第一次公示，公示时间为10个工作日。公示内容主要为建设项目名称及概况、建设项目的建设单位的名称和联系方式、承担评价工作的环境影响评价机构的名称和联系方式、环境影响评价的工作程序和主要工作内容、征求公众意见的主要事项和公众提出意见的主要方式。</w:t>
      </w:r>
    </w:p>
    <w:p>
      <w:pPr>
        <w:pStyle w:val="29"/>
        <w:ind w:firstLine="0" w:firstLineChars="0"/>
        <w:outlineLvl w:val="1"/>
        <w:rPr>
          <w:rFonts w:ascii="Times New Roman"/>
          <w:b/>
          <w:color w:val="000000"/>
        </w:rPr>
      </w:pPr>
      <w:r>
        <w:rPr>
          <w:rFonts w:hint="eastAsia" w:ascii="Times New Roman"/>
          <w:b/>
          <w:color w:val="000000"/>
        </w:rPr>
        <w:t>2.2公开方式</w:t>
      </w:r>
    </w:p>
    <w:p>
      <w:pPr>
        <w:pStyle w:val="29"/>
        <w:rPr>
          <w:rFonts w:ascii="Times New Roman"/>
          <w:bCs/>
          <w:color w:val="000000"/>
        </w:rPr>
      </w:pPr>
      <w:r>
        <w:rPr>
          <w:rFonts w:hint="eastAsia" w:ascii="Times New Roman"/>
          <w:bCs/>
          <w:color w:val="000000"/>
        </w:rPr>
        <w:t>（</w:t>
      </w:r>
      <w:r>
        <w:rPr>
          <w:rFonts w:ascii="Times New Roman"/>
          <w:bCs/>
          <w:color w:val="000000"/>
        </w:rPr>
        <w:t>1</w:t>
      </w:r>
      <w:r>
        <w:rPr>
          <w:rFonts w:hint="eastAsia" w:ascii="Times New Roman"/>
          <w:bCs/>
          <w:color w:val="000000"/>
        </w:rPr>
        <w:t>）网络公示情况</w:t>
      </w:r>
    </w:p>
    <w:p>
      <w:pPr>
        <w:pStyle w:val="29"/>
        <w:rPr>
          <w:rFonts w:hint="default" w:ascii="Times New Roman" w:hAnsi="Times New Roman" w:cs="Times New Roman"/>
          <w:bCs/>
          <w:color w:val="000000"/>
        </w:rPr>
      </w:pPr>
      <w:r>
        <w:rPr>
          <w:rFonts w:hint="default" w:ascii="Times New Roman" w:hAnsi="Times New Roman" w:cs="Times New Roman"/>
          <w:bCs/>
          <w:color w:val="000000"/>
        </w:rPr>
        <w:t>采取了网络公示的方式，项目于</w:t>
      </w:r>
      <w:r>
        <w:rPr>
          <w:rFonts w:hint="default" w:ascii="Times New Roman" w:hAnsi="Times New Roman" w:cs="Times New Roman"/>
          <w:color w:val="000000"/>
        </w:rPr>
        <w:t>202</w:t>
      </w:r>
      <w:r>
        <w:rPr>
          <w:rFonts w:hint="eastAsia" w:ascii="Times New Roman" w:hAnsi="Times New Roman" w:cs="Times New Roman"/>
          <w:color w:val="000000"/>
          <w:lang w:val="en-US" w:eastAsia="zh-CN"/>
        </w:rPr>
        <w:t>3</w:t>
      </w:r>
      <w:r>
        <w:rPr>
          <w:rFonts w:hint="default" w:ascii="Times New Roman" w:hAnsi="Times New Roman" w:cs="Times New Roman"/>
          <w:color w:val="000000"/>
        </w:rPr>
        <w:t>年</w:t>
      </w:r>
      <w:r>
        <w:rPr>
          <w:rFonts w:hint="eastAsia" w:ascii="Times New Roman" w:hAnsi="Times New Roman" w:cs="Times New Roman"/>
          <w:color w:val="000000"/>
          <w:lang w:val="en-US" w:eastAsia="zh-CN"/>
        </w:rPr>
        <w:t>2</w:t>
      </w:r>
      <w:r>
        <w:rPr>
          <w:rFonts w:hint="default" w:ascii="Times New Roman" w:hAnsi="Times New Roman" w:cs="Times New Roman"/>
          <w:color w:val="000000"/>
        </w:rPr>
        <w:t>月</w:t>
      </w:r>
      <w:r>
        <w:rPr>
          <w:rFonts w:hint="eastAsia" w:ascii="Times New Roman" w:hAnsi="Times New Roman" w:cs="Times New Roman"/>
          <w:color w:val="000000"/>
          <w:lang w:val="en-US" w:eastAsia="zh-CN"/>
        </w:rPr>
        <w:t>13</w:t>
      </w:r>
      <w:r>
        <w:rPr>
          <w:rFonts w:hint="default" w:ascii="Times New Roman" w:hAnsi="Times New Roman" w:cs="Times New Roman"/>
          <w:color w:val="000000"/>
        </w:rPr>
        <w:t>日</w:t>
      </w:r>
      <w:r>
        <w:rPr>
          <w:rFonts w:hint="default" w:ascii="Times New Roman" w:hAnsi="Times New Roman" w:cs="Times New Roman"/>
          <w:bCs/>
          <w:color w:val="000000"/>
        </w:rPr>
        <w:t>在</w:t>
      </w:r>
      <w:r>
        <w:rPr>
          <w:rFonts w:hint="eastAsia" w:ascii="Times New Roman"/>
          <w:bCs/>
          <w:color w:val="000000"/>
        </w:rPr>
        <w:t>甘肃湛昌矿业有限责任公司</w:t>
      </w:r>
      <w:r>
        <w:rPr>
          <w:rFonts w:hint="eastAsia" w:ascii="Times New Roman"/>
          <w:bCs/>
          <w:color w:val="000000"/>
          <w:lang w:val="en-US" w:eastAsia="zh-CN"/>
        </w:rPr>
        <w:t>集团公司</w:t>
      </w:r>
      <w:r>
        <w:rPr>
          <w:rFonts w:hint="eastAsia" w:ascii="Times New Roman"/>
          <w:bCs/>
          <w:color w:val="000000"/>
          <w:lang w:eastAsia="zh-CN"/>
        </w:rPr>
        <w:t>（三门峡</w:t>
      </w:r>
      <w:r>
        <w:rPr>
          <w:rFonts w:hint="eastAsia" w:ascii="Times New Roman"/>
          <w:bCs/>
          <w:color w:val="000000"/>
          <w:lang w:val="en-US" w:eastAsia="zh-CN"/>
        </w:rPr>
        <w:t>金渠集团有限公司</w:t>
      </w:r>
      <w:r>
        <w:rPr>
          <w:rFonts w:hint="eastAsia" w:ascii="Times New Roman"/>
          <w:bCs/>
          <w:color w:val="000000"/>
          <w:lang w:eastAsia="zh-CN"/>
        </w:rPr>
        <w:t>）</w:t>
      </w:r>
      <w:r>
        <w:rPr>
          <w:rFonts w:hint="default" w:ascii="Times New Roman" w:hAnsi="Times New Roman" w:cs="Times New Roman"/>
          <w:bCs/>
          <w:color w:val="000000"/>
        </w:rPr>
        <w:t>网站进行了第一次公示，网址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"http://www.gscxhj.com/htm/20203/13_1243.htm。第一次公示截图见图1。" </w:instrText>
      </w:r>
      <w:r>
        <w:rPr>
          <w:rFonts w:hint="default" w:ascii="Times New Roman" w:hAnsi="Times New Roman" w:cs="Times New Roman"/>
        </w:rPr>
        <w:fldChar w:fldCharType="separate"/>
      </w:r>
      <w:r>
        <w:rPr>
          <w:rFonts w:hint="default" w:ascii="Times New Roman" w:hAnsi="Times New Roman" w:cs="Times New Roman"/>
          <w:u w:val="single"/>
        </w:rPr>
        <w:t>http://www.jinqu.net.cn/news/1522.html</w:t>
      </w:r>
      <w:r>
        <w:rPr>
          <w:rStyle w:val="18"/>
          <w:rFonts w:hint="default" w:ascii="Times New Roman" w:hAnsi="Times New Roman" w:cs="Times New Roman"/>
          <w:bCs/>
          <w:color w:val="auto"/>
        </w:rPr>
        <w:t>。第一次公示截图见图1。</w:t>
      </w:r>
      <w:r>
        <w:rPr>
          <w:rStyle w:val="18"/>
          <w:rFonts w:hint="default" w:ascii="Times New Roman" w:hAnsi="Times New Roman" w:cs="Times New Roman"/>
          <w:bCs/>
          <w:color w:val="auto"/>
        </w:rPr>
        <w:fldChar w:fldCharType="end"/>
      </w:r>
    </w:p>
    <w:p>
      <w:pPr>
        <w:spacing w:line="0" w:lineRule="atLeast"/>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spacing w:line="0" w:lineRule="atLeast"/>
        <w:ind w:firstLine="482"/>
        <w:jc w:val="center"/>
        <w:rPr>
          <w:b/>
          <w:bCs/>
        </w:rPr>
      </w:pPr>
    </w:p>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eastAsia="宋体"/>
          <w:b/>
          <w:bCs/>
          <w:lang w:eastAsia="zh-CN"/>
        </w:rPr>
      </w:pPr>
      <w:r>
        <w:rPr>
          <w:rFonts w:hint="eastAsia" w:eastAsia="宋体"/>
          <w:b/>
          <w:bCs/>
          <w:lang w:eastAsia="zh-CN"/>
        </w:rPr>
        <w:drawing>
          <wp:inline distT="0" distB="0" distL="114300" distR="114300">
            <wp:extent cx="4845685" cy="8557895"/>
            <wp:effectExtent l="0" t="0" r="12065" b="14605"/>
            <wp:docPr id="2" name="图片 2" descr="4bf894c2a2c1313dc6f873fc28f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bf894c2a2c1313dc6f873fc28f4993"/>
                    <pic:cNvPicPr>
                      <a:picLocks noChangeAspect="1"/>
                    </pic:cNvPicPr>
                  </pic:nvPicPr>
                  <pic:blipFill>
                    <a:blip r:embed="rId4"/>
                    <a:stretch>
                      <a:fillRect/>
                    </a:stretch>
                  </pic:blipFill>
                  <pic:spPr>
                    <a:xfrm>
                      <a:off x="0" y="0"/>
                      <a:ext cx="4845685" cy="8557895"/>
                    </a:xfrm>
                    <a:prstGeom prst="rect">
                      <a:avLst/>
                    </a:prstGeom>
                  </pic:spPr>
                </pic:pic>
              </a:graphicData>
            </a:graphic>
          </wp:inline>
        </w:drawing>
      </w:r>
    </w:p>
    <w:p>
      <w:pPr>
        <w:spacing w:line="0" w:lineRule="atLeast"/>
        <w:ind w:firstLine="482"/>
        <w:jc w:val="center"/>
        <w:rPr>
          <w:b/>
          <w:bCs/>
        </w:rPr>
      </w:pPr>
      <w:r>
        <w:rPr>
          <w:rFonts w:hint="eastAsia"/>
          <w:b/>
          <w:bCs/>
        </w:rPr>
        <w:t>图1   第一次</w:t>
      </w:r>
      <w:r>
        <w:rPr>
          <w:rFonts w:hint="eastAsia"/>
          <w:b/>
          <w:bCs/>
          <w:lang w:eastAsia="zh-CN"/>
        </w:rPr>
        <w:t>网络</w:t>
      </w:r>
      <w:r>
        <w:rPr>
          <w:rFonts w:hint="eastAsia"/>
          <w:b/>
          <w:bCs/>
        </w:rPr>
        <w:t>公示截图</w:t>
      </w:r>
    </w:p>
    <w:p>
      <w:pPr>
        <w:spacing w:before="156" w:beforeLines="50" w:line="360" w:lineRule="auto"/>
        <w:ind w:firstLine="480" w:firstLineChars="200"/>
        <w:rPr>
          <w:rFonts w:ascii="Times New Roman"/>
          <w:bCs/>
          <w:kern w:val="2"/>
        </w:rPr>
      </w:pPr>
      <w:r>
        <w:rPr>
          <w:rFonts w:hint="eastAsia" w:ascii="Times New Roman"/>
          <w:bCs/>
          <w:kern w:val="2"/>
        </w:rPr>
        <w:t>（2）载体选取符合性分析</w:t>
      </w:r>
    </w:p>
    <w:p>
      <w:pPr>
        <w:spacing w:line="360" w:lineRule="auto"/>
        <w:ind w:firstLine="480" w:firstLineChars="200"/>
        <w:rPr>
          <w:rFonts w:ascii="Times New Roman"/>
          <w:bCs/>
          <w:kern w:val="2"/>
        </w:rPr>
      </w:pPr>
      <w:r>
        <w:rPr>
          <w:rFonts w:hint="eastAsia" w:ascii="Times New Roman"/>
          <w:bCs/>
          <w:kern w:val="2"/>
        </w:rPr>
        <w:t>依据《公参办法》第九条：“建设单位应当在确定环境影响报告书编制单位后7个工作日内，通过其网站、建设项目所在地公共媒体网站或者建设项目所在地相关政府网站（以下统称网络平台），公开相关信</w:t>
      </w:r>
      <w:r>
        <w:rPr>
          <w:rFonts w:ascii="Times New Roman"/>
          <w:bCs/>
          <w:kern w:val="2"/>
        </w:rPr>
        <w:t>息”。</w:t>
      </w:r>
      <w:r>
        <w:rPr>
          <w:rFonts w:hint="eastAsia"/>
          <w:bCs/>
        </w:rPr>
        <w:t xml:space="preserve"> </w:t>
      </w:r>
      <w:r>
        <w:rPr>
          <w:rFonts w:hint="eastAsia" w:ascii="Times New Roman"/>
          <w:bCs/>
          <w:color w:val="000000"/>
        </w:rPr>
        <w:t>甘肃湛昌矿业有限责任公司</w:t>
      </w:r>
      <w:r>
        <w:rPr>
          <w:rFonts w:hint="eastAsia" w:ascii="Times New Roman"/>
          <w:bCs/>
          <w:color w:val="000000"/>
          <w:lang w:val="en-US" w:eastAsia="zh-CN"/>
        </w:rPr>
        <w:t>集团公司</w:t>
      </w:r>
      <w:r>
        <w:rPr>
          <w:rFonts w:hint="eastAsia" w:ascii="Times New Roman"/>
          <w:bCs/>
          <w:color w:val="000000"/>
          <w:lang w:eastAsia="zh-CN"/>
        </w:rPr>
        <w:t>（三门峡</w:t>
      </w:r>
      <w:r>
        <w:rPr>
          <w:rFonts w:hint="eastAsia" w:ascii="Times New Roman"/>
          <w:bCs/>
          <w:color w:val="000000"/>
          <w:lang w:val="en-US" w:eastAsia="zh-CN"/>
        </w:rPr>
        <w:t>金渠集团有限公司</w:t>
      </w:r>
      <w:r>
        <w:rPr>
          <w:rFonts w:hint="eastAsia" w:ascii="Times New Roman"/>
          <w:bCs/>
          <w:color w:val="000000"/>
          <w:lang w:eastAsia="zh-CN"/>
        </w:rPr>
        <w:t>）</w:t>
      </w:r>
      <w:r>
        <w:rPr>
          <w:rFonts w:hint="default" w:ascii="Times New Roman" w:hAnsi="Times New Roman" w:cs="Times New Roman"/>
          <w:bCs/>
          <w:color w:val="000000"/>
        </w:rPr>
        <w:t>网站</w:t>
      </w:r>
      <w:r>
        <w:rPr>
          <w:rFonts w:ascii="Times New Roman"/>
          <w:bCs/>
          <w:color w:val="000000" w:themeColor="text1"/>
          <w:kern w:val="2"/>
          <w14:textFill>
            <w14:solidFill>
              <w14:schemeClr w14:val="tx1"/>
            </w14:solidFill>
          </w14:textFill>
        </w:rPr>
        <w:t>是本项目</w:t>
      </w:r>
      <w:r>
        <w:rPr>
          <w:rFonts w:hint="eastAsia" w:ascii="Times New Roman"/>
          <w:bCs/>
          <w:color w:val="000000" w:themeColor="text1"/>
          <w:kern w:val="2"/>
          <w:lang w:val="en-US" w:eastAsia="zh-CN"/>
          <w14:textFill>
            <w14:solidFill>
              <w14:schemeClr w14:val="tx1"/>
            </w14:solidFill>
          </w14:textFill>
        </w:rPr>
        <w:t>建设</w:t>
      </w:r>
      <w:r>
        <w:rPr>
          <w:rFonts w:ascii="Times New Roman"/>
          <w:bCs/>
          <w:color w:val="000000" w:themeColor="text1"/>
          <w:kern w:val="2"/>
          <w14:textFill>
            <w14:solidFill>
              <w14:schemeClr w14:val="tx1"/>
            </w14:solidFill>
          </w14:textFill>
        </w:rPr>
        <w:t>单位</w:t>
      </w:r>
      <w:r>
        <w:rPr>
          <w:rFonts w:hint="eastAsia" w:ascii="Times New Roman"/>
          <w:bCs/>
          <w:color w:val="000000" w:themeColor="text1"/>
          <w:kern w:val="2"/>
          <w:lang w:val="en-US" w:eastAsia="zh-CN"/>
          <w14:textFill>
            <w14:solidFill>
              <w14:schemeClr w14:val="tx1"/>
            </w14:solidFill>
          </w14:textFill>
        </w:rPr>
        <w:t>集团公司</w:t>
      </w:r>
      <w:r>
        <w:rPr>
          <w:rFonts w:ascii="Times New Roman"/>
          <w:bCs/>
          <w:color w:val="000000" w:themeColor="text1"/>
          <w:kern w:val="2"/>
          <w14:textFill>
            <w14:solidFill>
              <w14:schemeClr w14:val="tx1"/>
            </w14:solidFill>
          </w14:textFill>
        </w:rPr>
        <w:t>网站，</w:t>
      </w:r>
      <w:r>
        <w:rPr>
          <w:rFonts w:hint="eastAsia" w:ascii="Times New Roman"/>
          <w:bCs/>
          <w:color w:val="000000"/>
        </w:rPr>
        <w:t>甘肃湛昌矿业有限责任公司</w:t>
      </w:r>
      <w:r>
        <w:rPr>
          <w:rFonts w:hint="eastAsia" w:ascii="Times New Roman"/>
          <w:bCs/>
          <w:color w:val="000000"/>
          <w:lang w:val="en-US" w:eastAsia="zh-CN"/>
        </w:rPr>
        <w:t>集团公司</w:t>
      </w:r>
      <w:r>
        <w:rPr>
          <w:rFonts w:ascii="Times New Roman"/>
          <w:bCs/>
          <w:color w:val="000000" w:themeColor="text1"/>
          <w:kern w:val="2"/>
          <w14:textFill>
            <w14:solidFill>
              <w14:schemeClr w14:val="tx1"/>
            </w14:solidFill>
          </w14:textFill>
        </w:rPr>
        <w:t>于</w:t>
      </w:r>
      <w:r>
        <w:rPr>
          <w:rFonts w:hint="eastAsia" w:ascii="Times New Roman"/>
          <w:bCs/>
          <w:color w:val="000000" w:themeColor="text1"/>
          <w:kern w:val="2"/>
          <w14:textFill>
            <w14:solidFill>
              <w14:schemeClr w14:val="tx1"/>
            </w14:solidFill>
          </w14:textFill>
        </w:rPr>
        <w:t>202</w:t>
      </w:r>
      <w:r>
        <w:rPr>
          <w:rFonts w:hint="eastAsia" w:ascii="Times New Roman"/>
          <w:bCs/>
          <w:color w:val="000000" w:themeColor="text1"/>
          <w:kern w:val="2"/>
          <w:lang w:val="en-US" w:eastAsia="zh-CN"/>
          <w14:textFill>
            <w14:solidFill>
              <w14:schemeClr w14:val="tx1"/>
            </w14:solidFill>
          </w14:textFill>
        </w:rPr>
        <w:t>3</w:t>
      </w:r>
      <w:r>
        <w:rPr>
          <w:rFonts w:hint="eastAsia" w:ascii="Times New Roman"/>
          <w:bCs/>
          <w:color w:val="000000" w:themeColor="text1"/>
          <w:kern w:val="2"/>
          <w14:textFill>
            <w14:solidFill>
              <w14:schemeClr w14:val="tx1"/>
            </w14:solidFill>
          </w14:textFill>
        </w:rPr>
        <w:t>年</w:t>
      </w:r>
      <w:r>
        <w:rPr>
          <w:rFonts w:hint="eastAsia" w:ascii="Times New Roman"/>
          <w:bCs/>
          <w:color w:val="000000" w:themeColor="text1"/>
          <w:kern w:val="2"/>
          <w:lang w:val="en-US" w:eastAsia="zh-CN"/>
          <w14:textFill>
            <w14:solidFill>
              <w14:schemeClr w14:val="tx1"/>
            </w14:solidFill>
          </w14:textFill>
        </w:rPr>
        <w:t>2</w:t>
      </w:r>
      <w:r>
        <w:rPr>
          <w:rFonts w:hint="eastAsia" w:ascii="Times New Roman"/>
          <w:bCs/>
          <w:color w:val="000000" w:themeColor="text1"/>
          <w:kern w:val="2"/>
          <w14:textFill>
            <w14:solidFill>
              <w14:schemeClr w14:val="tx1"/>
            </w14:solidFill>
          </w14:textFill>
        </w:rPr>
        <w:t>月</w:t>
      </w:r>
      <w:r>
        <w:rPr>
          <w:rFonts w:hint="eastAsia" w:ascii="Times New Roman"/>
          <w:bCs/>
          <w:color w:val="000000" w:themeColor="text1"/>
          <w:kern w:val="2"/>
          <w:lang w:val="en-US" w:eastAsia="zh-CN"/>
          <w14:textFill>
            <w14:solidFill>
              <w14:schemeClr w14:val="tx1"/>
            </w14:solidFill>
          </w14:textFill>
        </w:rPr>
        <w:t>13</w:t>
      </w:r>
      <w:r>
        <w:rPr>
          <w:rFonts w:hint="eastAsia" w:ascii="Times New Roman"/>
          <w:bCs/>
          <w:color w:val="000000" w:themeColor="text1"/>
          <w:kern w:val="2"/>
          <w14:textFill>
            <w14:solidFill>
              <w14:schemeClr w14:val="tx1"/>
            </w14:solidFill>
          </w14:textFill>
        </w:rPr>
        <w:t>日</w:t>
      </w:r>
      <w:r>
        <w:rPr>
          <w:rFonts w:ascii="Times New Roman"/>
          <w:bCs/>
          <w:color w:val="000000" w:themeColor="text1"/>
          <w:kern w:val="2"/>
          <w14:textFill>
            <w14:solidFill>
              <w14:schemeClr w14:val="tx1"/>
            </w14:solidFill>
          </w14:textFill>
        </w:rPr>
        <w:t>在报告</w:t>
      </w:r>
      <w:r>
        <w:rPr>
          <w:rFonts w:hint="eastAsia" w:ascii="Times New Roman"/>
          <w:bCs/>
          <w:color w:val="000000" w:themeColor="text1"/>
          <w:kern w:val="2"/>
          <w14:textFill>
            <w14:solidFill>
              <w14:schemeClr w14:val="tx1"/>
            </w14:solidFill>
          </w14:textFill>
        </w:rPr>
        <w:t>书</w:t>
      </w:r>
      <w:r>
        <w:rPr>
          <w:rFonts w:ascii="Times New Roman"/>
          <w:bCs/>
          <w:color w:val="000000" w:themeColor="text1"/>
          <w:kern w:val="2"/>
          <w14:textFill>
            <w14:solidFill>
              <w14:schemeClr w14:val="tx1"/>
            </w14:solidFill>
          </w14:textFill>
        </w:rPr>
        <w:t>编制初期在其网站进行了本项目第一次公示，公示时间为10个工作日，符合《建设项目环境影响评价公众参与办法》</w:t>
      </w:r>
      <w:r>
        <w:rPr>
          <w:rFonts w:hint="eastAsia" w:ascii="Times New Roman"/>
          <w:bCs/>
          <w:color w:val="000000" w:themeColor="text1"/>
          <w:kern w:val="2"/>
          <w14:textFill>
            <w14:solidFill>
              <w14:schemeClr w14:val="tx1"/>
            </w14:solidFill>
          </w14:textFill>
        </w:rPr>
        <w:t>要求。</w:t>
      </w:r>
    </w:p>
    <w:p>
      <w:pPr>
        <w:spacing w:line="360" w:lineRule="auto"/>
        <w:jc w:val="left"/>
        <w:outlineLvl w:val="1"/>
        <w:rPr>
          <w:rFonts w:ascii="Times New Roman" w:eastAsiaTheme="majorEastAsia"/>
          <w:b/>
          <w:kern w:val="2"/>
        </w:rPr>
      </w:pPr>
      <w:r>
        <w:rPr>
          <w:rFonts w:hint="eastAsia" w:ascii="Times New Roman" w:eastAsiaTheme="majorEastAsia"/>
          <w:b/>
          <w:kern w:val="2"/>
        </w:rPr>
        <w:t>2.3公众提出意见情况</w:t>
      </w:r>
    </w:p>
    <w:p>
      <w:pPr>
        <w:spacing w:line="360" w:lineRule="auto"/>
        <w:ind w:firstLine="480" w:firstLineChars="200"/>
        <w:rPr>
          <w:rFonts w:ascii="Times New Roman"/>
          <w:bCs/>
          <w:kern w:val="2"/>
        </w:rPr>
      </w:pPr>
      <w:r>
        <w:rPr>
          <w:rFonts w:hint="eastAsia" w:ascii="Times New Roman"/>
          <w:bCs/>
          <w:kern w:val="2"/>
        </w:rPr>
        <w:t>首次公示为10个工作日，公示期间未收到与本项目环境影响评价有关的意见和建议。</w:t>
      </w:r>
    </w:p>
    <w:p>
      <w:pPr>
        <w:spacing w:line="360" w:lineRule="auto"/>
        <w:jc w:val="left"/>
        <w:outlineLvl w:val="0"/>
        <w:rPr>
          <w:rFonts w:ascii="Times New Roman" w:eastAsiaTheme="majorEastAsia"/>
          <w:b/>
          <w:kern w:val="2"/>
          <w:sz w:val="28"/>
          <w:szCs w:val="28"/>
        </w:rPr>
      </w:pPr>
      <w:r>
        <w:rPr>
          <w:rFonts w:hint="eastAsia" w:ascii="Times New Roman" w:eastAsiaTheme="majorEastAsia"/>
          <w:b/>
          <w:kern w:val="2"/>
          <w:sz w:val="28"/>
          <w:szCs w:val="28"/>
        </w:rPr>
        <w:t>3、征求意见稿公示情况</w:t>
      </w:r>
    </w:p>
    <w:p>
      <w:pPr>
        <w:spacing w:line="360" w:lineRule="auto"/>
        <w:jc w:val="left"/>
        <w:outlineLvl w:val="1"/>
        <w:rPr>
          <w:rFonts w:ascii="Times New Roman" w:eastAsiaTheme="majorEastAsia"/>
          <w:b/>
          <w:kern w:val="2"/>
        </w:rPr>
      </w:pPr>
      <w:r>
        <w:rPr>
          <w:rFonts w:hint="eastAsia" w:ascii="Times New Roman" w:eastAsiaTheme="majorEastAsia"/>
          <w:b/>
          <w:kern w:val="2"/>
        </w:rPr>
        <w:t>3.1公开内容及时限</w:t>
      </w:r>
    </w:p>
    <w:p>
      <w:pPr>
        <w:spacing w:line="360" w:lineRule="auto"/>
        <w:ind w:firstLine="480" w:firstLineChars="200"/>
        <w:rPr>
          <w:rFonts w:ascii="Times New Roman"/>
          <w:bCs/>
          <w:kern w:val="2"/>
        </w:rPr>
      </w:pPr>
      <w:r>
        <w:rPr>
          <w:rFonts w:hint="eastAsia"/>
          <w:bCs/>
        </w:rPr>
        <w:t>按照《建设项目环境影响评价公众参</w:t>
      </w:r>
      <w:r>
        <w:rPr>
          <w:rFonts w:ascii="Times New Roman"/>
          <w:bCs/>
        </w:rPr>
        <w:t>与办法》要求，</w:t>
      </w:r>
      <w:r>
        <w:rPr>
          <w:rFonts w:ascii="Times New Roman"/>
          <w:bCs/>
          <w:color w:val="000000" w:themeColor="text1"/>
          <w14:textFill>
            <w14:solidFill>
              <w14:schemeClr w14:val="tx1"/>
            </w14:solidFill>
          </w14:textFill>
        </w:rPr>
        <w:t>于</w:t>
      </w:r>
      <w:r>
        <w:rPr>
          <w:rFonts w:hint="eastAsia" w:ascii="Times New Roman"/>
          <w:color w:val="000000" w:themeColor="text1"/>
          <w14:textFill>
            <w14:solidFill>
              <w14:schemeClr w14:val="tx1"/>
            </w14:solidFill>
          </w14:textFill>
        </w:rPr>
        <w:t>20</w:t>
      </w:r>
      <w:r>
        <w:rPr>
          <w:rFonts w:ascii="Times New Roman"/>
          <w:color w:val="000000" w:themeColor="text1"/>
          <w14:textFill>
            <w14:solidFill>
              <w14:schemeClr w14:val="tx1"/>
            </w14:solidFill>
          </w14:textFill>
        </w:rPr>
        <w:t>2</w:t>
      </w:r>
      <w:r>
        <w:rPr>
          <w:rFonts w:hint="eastAsia" w:ascii="Times New Roman"/>
          <w:color w:val="000000" w:themeColor="text1"/>
          <w:lang w:val="en-US" w:eastAsia="zh-CN"/>
          <w14:textFill>
            <w14:solidFill>
              <w14:schemeClr w14:val="tx1"/>
            </w14:solidFill>
          </w14:textFill>
        </w:rPr>
        <w:t>3</w:t>
      </w:r>
      <w:r>
        <w:rPr>
          <w:rFonts w:hint="eastAsia" w:ascii="Times New Roman"/>
          <w:color w:val="000000" w:themeColor="text1"/>
          <w14:textFill>
            <w14:solidFill>
              <w14:schemeClr w14:val="tx1"/>
            </w14:solidFill>
          </w14:textFill>
        </w:rPr>
        <w:t>年</w:t>
      </w:r>
      <w:r>
        <w:rPr>
          <w:rFonts w:hint="eastAsia" w:ascii="Times New Roman"/>
          <w:color w:val="000000" w:themeColor="text1"/>
          <w:lang w:val="en-US" w:eastAsia="zh-CN"/>
          <w14:textFill>
            <w14:solidFill>
              <w14:schemeClr w14:val="tx1"/>
            </w14:solidFill>
          </w14:textFill>
        </w:rPr>
        <w:t>9</w:t>
      </w:r>
      <w:r>
        <w:rPr>
          <w:rFonts w:hint="eastAsia" w:ascii="Times New Roman"/>
          <w:color w:val="000000" w:themeColor="text1"/>
          <w14:textFill>
            <w14:solidFill>
              <w14:schemeClr w14:val="tx1"/>
            </w14:solidFill>
          </w14:textFill>
        </w:rPr>
        <w:t>月</w:t>
      </w:r>
      <w:r>
        <w:rPr>
          <w:rFonts w:hint="eastAsia" w:ascii="Times New Roman"/>
          <w:color w:val="000000" w:themeColor="text1"/>
          <w:lang w:val="en-US" w:eastAsia="zh-CN"/>
          <w14:textFill>
            <w14:solidFill>
              <w14:schemeClr w14:val="tx1"/>
            </w14:solidFill>
          </w14:textFill>
        </w:rPr>
        <w:t>5</w:t>
      </w:r>
      <w:r>
        <w:rPr>
          <w:rFonts w:hint="eastAsia" w:ascii="Times New Roman"/>
          <w:color w:val="000000" w:themeColor="text1"/>
          <w14:textFill>
            <w14:solidFill>
              <w14:schemeClr w14:val="tx1"/>
            </w14:solidFill>
          </w14:textFill>
        </w:rPr>
        <w:t>日</w:t>
      </w:r>
      <w:r>
        <w:rPr>
          <w:rFonts w:ascii="Times New Roman"/>
          <w:bCs/>
        </w:rPr>
        <w:t>在</w:t>
      </w:r>
      <w:r>
        <w:rPr>
          <w:rFonts w:hint="eastAsia" w:ascii="Times New Roman"/>
          <w:bCs/>
          <w:lang w:val="en-US" w:eastAsia="zh-CN"/>
        </w:rPr>
        <w:t>西部（</w:t>
      </w:r>
      <w:r>
        <w:rPr>
          <w:rFonts w:hint="default" w:ascii="Times New Roman"/>
          <w:bCs/>
        </w:rPr>
        <w:t>甘肃</w:t>
      </w:r>
      <w:r>
        <w:rPr>
          <w:rFonts w:hint="eastAsia" w:ascii="Times New Roman"/>
          <w:bCs/>
          <w:lang w:val="en-US" w:eastAsia="zh-CN"/>
        </w:rPr>
        <w:t>）生态环境工程</w:t>
      </w:r>
      <w:r>
        <w:rPr>
          <w:rFonts w:hint="default" w:ascii="Times New Roman"/>
          <w:bCs/>
        </w:rPr>
        <w:t>有限公司</w:t>
      </w:r>
      <w:r>
        <w:rPr>
          <w:rFonts w:ascii="Times New Roman"/>
          <w:bCs/>
          <w:color w:val="000000" w:themeColor="text1"/>
          <w14:textFill>
            <w14:solidFill>
              <w14:schemeClr w14:val="tx1"/>
            </w14:solidFill>
          </w14:textFill>
        </w:rPr>
        <w:t>网站进行了</w:t>
      </w:r>
      <w:r>
        <w:rPr>
          <w:rFonts w:hint="eastAsia" w:ascii="Times New Roman"/>
          <w:bCs/>
          <w:color w:val="000000" w:themeColor="text1"/>
          <w:lang w:val="en-US" w:eastAsia="zh-CN"/>
          <w14:textFill>
            <w14:solidFill>
              <w14:schemeClr w14:val="tx1"/>
            </w14:solidFill>
          </w14:textFill>
        </w:rPr>
        <w:t>网络</w:t>
      </w:r>
      <w:r>
        <w:rPr>
          <w:rFonts w:ascii="Times New Roman"/>
          <w:bCs/>
          <w:color w:val="000000" w:themeColor="text1"/>
          <w14:textFill>
            <w14:solidFill>
              <w14:schemeClr w14:val="tx1"/>
            </w14:solidFill>
          </w14:textFill>
        </w:rPr>
        <w:t>第二次公示</w:t>
      </w:r>
      <w:r>
        <w:rPr>
          <w:rFonts w:hint="eastAsia" w:ascii="Times New Roman"/>
          <w:bCs/>
          <w:color w:val="000000" w:themeColor="text1"/>
          <w:lang w:eastAsia="zh-CN"/>
          <w14:textFill>
            <w14:solidFill>
              <w14:schemeClr w14:val="tx1"/>
            </w14:solidFill>
          </w14:textFill>
        </w:rPr>
        <w:t>，</w:t>
      </w:r>
      <w:r>
        <w:rPr>
          <w:rFonts w:ascii="Times New Roman"/>
          <w:bCs/>
          <w:color w:val="000000" w:themeColor="text1"/>
          <w14:textFill>
            <w14:solidFill>
              <w14:schemeClr w14:val="tx1"/>
            </w14:solidFill>
          </w14:textFill>
        </w:rPr>
        <w:t>于</w:t>
      </w:r>
      <w:r>
        <w:rPr>
          <w:rFonts w:hint="eastAsia" w:ascii="Times New Roman"/>
          <w:color w:val="000000" w:themeColor="text1"/>
          <w14:textFill>
            <w14:solidFill>
              <w14:schemeClr w14:val="tx1"/>
            </w14:solidFill>
          </w14:textFill>
        </w:rPr>
        <w:t>20</w:t>
      </w:r>
      <w:r>
        <w:rPr>
          <w:rFonts w:ascii="Times New Roman"/>
          <w:color w:val="000000" w:themeColor="text1"/>
          <w14:textFill>
            <w14:solidFill>
              <w14:schemeClr w14:val="tx1"/>
            </w14:solidFill>
          </w14:textFill>
        </w:rPr>
        <w:t>2</w:t>
      </w:r>
      <w:r>
        <w:rPr>
          <w:rFonts w:hint="eastAsia" w:ascii="Times New Roman"/>
          <w:color w:val="000000" w:themeColor="text1"/>
          <w:lang w:val="en-US" w:eastAsia="zh-CN"/>
          <w14:textFill>
            <w14:solidFill>
              <w14:schemeClr w14:val="tx1"/>
            </w14:solidFill>
          </w14:textFill>
        </w:rPr>
        <w:t>3</w:t>
      </w:r>
      <w:r>
        <w:rPr>
          <w:rFonts w:hint="eastAsia" w:ascii="Times New Roman"/>
          <w:color w:val="000000" w:themeColor="text1"/>
          <w14:textFill>
            <w14:solidFill>
              <w14:schemeClr w14:val="tx1"/>
            </w14:solidFill>
          </w14:textFill>
        </w:rPr>
        <w:t>年</w:t>
      </w:r>
      <w:r>
        <w:rPr>
          <w:rFonts w:hint="eastAsia" w:ascii="Times New Roman"/>
          <w:color w:val="000000" w:themeColor="text1"/>
          <w:lang w:val="en-US" w:eastAsia="zh-CN"/>
          <w14:textFill>
            <w14:solidFill>
              <w14:schemeClr w14:val="tx1"/>
            </w14:solidFill>
          </w14:textFill>
        </w:rPr>
        <w:t>9</w:t>
      </w:r>
      <w:r>
        <w:rPr>
          <w:rFonts w:hint="eastAsia" w:ascii="Times New Roman"/>
          <w:color w:val="000000" w:themeColor="text1"/>
          <w14:textFill>
            <w14:solidFill>
              <w14:schemeClr w14:val="tx1"/>
            </w14:solidFill>
          </w14:textFill>
        </w:rPr>
        <w:t>月</w:t>
      </w:r>
      <w:r>
        <w:rPr>
          <w:rFonts w:hint="eastAsia" w:ascii="Times New Roman"/>
          <w:color w:val="000000" w:themeColor="text1"/>
          <w:lang w:val="en-US" w:eastAsia="zh-CN"/>
          <w14:textFill>
            <w14:solidFill>
              <w14:schemeClr w14:val="tx1"/>
            </w14:solidFill>
          </w14:textFill>
        </w:rPr>
        <w:t>5</w:t>
      </w:r>
      <w:r>
        <w:rPr>
          <w:rFonts w:hint="eastAsia" w:ascii="Times New Roman"/>
          <w:color w:val="000000" w:themeColor="text1"/>
          <w14:textFill>
            <w14:solidFill>
              <w14:schemeClr w14:val="tx1"/>
            </w14:solidFill>
          </w14:textFill>
        </w:rPr>
        <w:t>日在</w:t>
      </w:r>
      <w:bookmarkStart w:id="6" w:name="_Hlk37431064"/>
      <w:r>
        <w:rPr>
          <w:rFonts w:hint="eastAsia" w:ascii="Times New Roman"/>
          <w:color w:val="000000" w:themeColor="text1"/>
          <w:lang w:val="en-US" w:eastAsia="zh-CN"/>
          <w14:textFill>
            <w14:solidFill>
              <w14:schemeClr w14:val="tx1"/>
            </w14:solidFill>
          </w14:textFill>
        </w:rPr>
        <w:t>酒泉</w:t>
      </w:r>
      <w:r>
        <w:rPr>
          <w:rFonts w:hint="eastAsia" w:ascii="Times New Roman"/>
          <w:color w:val="000000" w:themeColor="text1"/>
          <w:lang w:eastAsia="zh-CN"/>
          <w14:textFill>
            <w14:solidFill>
              <w14:schemeClr w14:val="tx1"/>
            </w14:solidFill>
          </w14:textFill>
        </w:rPr>
        <w:t>日报</w:t>
      </w:r>
      <w:bookmarkEnd w:id="6"/>
      <w:r>
        <w:rPr>
          <w:rFonts w:ascii="Times New Roman"/>
          <w:bCs/>
        </w:rPr>
        <w:t>同步进行了</w:t>
      </w:r>
      <w:r>
        <w:rPr>
          <w:rFonts w:hint="eastAsia" w:ascii="Times New Roman"/>
          <w:bCs/>
          <w:lang w:val="en-US" w:eastAsia="zh-CN"/>
        </w:rPr>
        <w:t>报纸</w:t>
      </w:r>
      <w:r>
        <w:rPr>
          <w:rFonts w:ascii="Times New Roman"/>
          <w:bCs/>
        </w:rPr>
        <w:t>第</w:t>
      </w:r>
      <w:r>
        <w:rPr>
          <w:rFonts w:hint="eastAsia" w:ascii="Times New Roman"/>
          <w:bCs/>
          <w:lang w:val="en-US" w:eastAsia="zh-CN"/>
        </w:rPr>
        <w:t>一</w:t>
      </w:r>
      <w:r>
        <w:rPr>
          <w:rFonts w:ascii="Times New Roman"/>
          <w:bCs/>
        </w:rPr>
        <w:t>次</w:t>
      </w:r>
      <w:r>
        <w:rPr>
          <w:rFonts w:hint="eastAsia" w:ascii="Times New Roman"/>
          <w:bCs/>
          <w:lang w:eastAsia="zh-CN"/>
        </w:rPr>
        <w:t>公示，</w:t>
      </w:r>
      <w:r>
        <w:rPr>
          <w:rFonts w:ascii="Times New Roman"/>
          <w:bCs/>
          <w:color w:val="000000" w:themeColor="text1"/>
          <w14:textFill>
            <w14:solidFill>
              <w14:schemeClr w14:val="tx1"/>
            </w14:solidFill>
          </w14:textFill>
        </w:rPr>
        <w:t>并于</w:t>
      </w:r>
      <w:r>
        <w:rPr>
          <w:rFonts w:hint="eastAsia" w:ascii="Times New Roman"/>
          <w:color w:val="000000" w:themeColor="text1"/>
          <w14:textFill>
            <w14:solidFill>
              <w14:schemeClr w14:val="tx1"/>
            </w14:solidFill>
          </w14:textFill>
        </w:rPr>
        <w:t>20</w:t>
      </w:r>
      <w:r>
        <w:rPr>
          <w:rFonts w:ascii="Times New Roman"/>
          <w:color w:val="000000" w:themeColor="text1"/>
          <w14:textFill>
            <w14:solidFill>
              <w14:schemeClr w14:val="tx1"/>
            </w14:solidFill>
          </w14:textFill>
        </w:rPr>
        <w:t>2</w:t>
      </w:r>
      <w:r>
        <w:rPr>
          <w:rFonts w:hint="eastAsia" w:ascii="Times New Roman"/>
          <w:color w:val="000000" w:themeColor="text1"/>
          <w:lang w:val="en-US" w:eastAsia="zh-CN"/>
          <w14:textFill>
            <w14:solidFill>
              <w14:schemeClr w14:val="tx1"/>
            </w14:solidFill>
          </w14:textFill>
        </w:rPr>
        <w:t>2</w:t>
      </w:r>
      <w:r>
        <w:rPr>
          <w:rFonts w:hint="eastAsia" w:ascii="Times New Roman"/>
          <w:color w:val="000000" w:themeColor="text1"/>
          <w14:textFill>
            <w14:solidFill>
              <w14:schemeClr w14:val="tx1"/>
            </w14:solidFill>
          </w14:textFill>
        </w:rPr>
        <w:t>年</w:t>
      </w:r>
      <w:r>
        <w:rPr>
          <w:rFonts w:hint="eastAsia" w:ascii="Times New Roman"/>
          <w:color w:val="000000" w:themeColor="text1"/>
          <w:lang w:val="en-US" w:eastAsia="zh-CN"/>
          <w14:textFill>
            <w14:solidFill>
              <w14:schemeClr w14:val="tx1"/>
            </w14:solidFill>
          </w14:textFill>
        </w:rPr>
        <w:t>9</w:t>
      </w:r>
      <w:r>
        <w:rPr>
          <w:rFonts w:hint="eastAsia" w:ascii="Times New Roman"/>
          <w:color w:val="000000" w:themeColor="text1"/>
          <w14:textFill>
            <w14:solidFill>
              <w14:schemeClr w14:val="tx1"/>
            </w14:solidFill>
          </w14:textFill>
        </w:rPr>
        <w:t>月</w:t>
      </w:r>
      <w:r>
        <w:rPr>
          <w:rFonts w:hint="eastAsia" w:ascii="Times New Roman"/>
          <w:color w:val="000000" w:themeColor="text1"/>
          <w:lang w:val="en-US" w:eastAsia="zh-CN"/>
          <w14:textFill>
            <w14:solidFill>
              <w14:schemeClr w14:val="tx1"/>
            </w14:solidFill>
          </w14:textFill>
        </w:rPr>
        <w:t>5</w:t>
      </w:r>
      <w:r>
        <w:rPr>
          <w:rFonts w:hint="eastAsia" w:ascii="Times New Roman"/>
          <w:color w:val="000000" w:themeColor="text1"/>
          <w14:textFill>
            <w14:solidFill>
              <w14:schemeClr w14:val="tx1"/>
            </w14:solidFill>
          </w14:textFill>
        </w:rPr>
        <w:t>日在</w:t>
      </w:r>
      <w:r>
        <w:rPr>
          <w:rFonts w:hint="eastAsia" w:ascii="Times New Roman"/>
          <w:color w:val="000000" w:themeColor="text1"/>
          <w:lang w:val="en-US" w:eastAsia="zh-CN"/>
          <w14:textFill>
            <w14:solidFill>
              <w14:schemeClr w14:val="tx1"/>
            </w14:solidFill>
          </w14:textFill>
        </w:rPr>
        <w:t>昌马</w:t>
      </w:r>
      <w:r>
        <w:rPr>
          <w:rFonts w:hint="eastAsia" w:ascii="Times New Roman"/>
          <w:color w:val="000000" w:themeColor="text1"/>
          <w:lang w:eastAsia="zh-CN"/>
          <w14:textFill>
            <w14:solidFill>
              <w14:schemeClr w14:val="tx1"/>
            </w14:solidFill>
          </w14:textFill>
        </w:rPr>
        <w:t>镇</w:t>
      </w:r>
      <w:r>
        <w:rPr>
          <w:rFonts w:hint="eastAsia" w:ascii="Times New Roman"/>
          <w:bCs/>
          <w:color w:val="000000" w:themeColor="text1"/>
          <w:lang w:eastAsia="zh-CN"/>
          <w14:textFill>
            <w14:solidFill>
              <w14:schemeClr w14:val="tx1"/>
            </w14:solidFill>
          </w14:textFill>
        </w:rPr>
        <w:t>同步</w:t>
      </w:r>
      <w:r>
        <w:rPr>
          <w:rFonts w:hint="eastAsia" w:ascii="Times New Roman"/>
          <w:bCs/>
          <w:color w:val="000000" w:themeColor="text1"/>
          <w14:textFill>
            <w14:solidFill>
              <w14:schemeClr w14:val="tx1"/>
            </w14:solidFill>
          </w14:textFill>
        </w:rPr>
        <w:t>进行了</w:t>
      </w:r>
      <w:r>
        <w:rPr>
          <w:rFonts w:ascii="Times New Roman"/>
          <w:bCs/>
          <w:color w:val="000000" w:themeColor="text1"/>
          <w14:textFill>
            <w14:solidFill>
              <w14:schemeClr w14:val="tx1"/>
            </w14:solidFill>
          </w14:textFill>
        </w:rPr>
        <w:t>张贴</w:t>
      </w:r>
      <w:r>
        <w:rPr>
          <w:rFonts w:hint="eastAsia" w:ascii="Times New Roman"/>
          <w:bCs/>
          <w:color w:val="000000" w:themeColor="text1"/>
          <w:lang w:val="en-US" w:eastAsia="zh-CN"/>
          <w14:textFill>
            <w14:solidFill>
              <w14:schemeClr w14:val="tx1"/>
            </w14:solidFill>
          </w14:textFill>
        </w:rPr>
        <w:t>公示</w:t>
      </w:r>
      <w:r>
        <w:rPr>
          <w:rFonts w:hint="eastAsia" w:ascii="Times New Roman"/>
          <w:bCs/>
          <w:color w:val="000000" w:themeColor="text1"/>
          <w:lang w:eastAsia="zh-CN"/>
          <w14:textFill>
            <w14:solidFill>
              <w14:schemeClr w14:val="tx1"/>
            </w14:solidFill>
          </w14:textFill>
        </w:rPr>
        <w:t>，</w:t>
      </w:r>
      <w:r>
        <w:rPr>
          <w:rFonts w:ascii="Times New Roman"/>
          <w:color w:val="auto"/>
          <w:highlight w:val="none"/>
        </w:rPr>
        <w:t>202</w:t>
      </w:r>
      <w:r>
        <w:rPr>
          <w:rFonts w:hint="eastAsia" w:ascii="Times New Roman"/>
          <w:color w:val="auto"/>
          <w:highlight w:val="none"/>
          <w:lang w:val="en-US" w:eastAsia="zh-CN"/>
        </w:rPr>
        <w:t>3</w:t>
      </w:r>
      <w:r>
        <w:rPr>
          <w:rFonts w:ascii="Times New Roman"/>
          <w:color w:val="auto"/>
          <w:highlight w:val="none"/>
        </w:rPr>
        <w:t>年</w:t>
      </w:r>
      <w:r>
        <w:rPr>
          <w:rFonts w:hint="eastAsia" w:ascii="Times New Roman"/>
          <w:color w:val="auto"/>
          <w:highlight w:val="none"/>
          <w:lang w:val="en-US" w:eastAsia="zh-CN"/>
        </w:rPr>
        <w:t>9</w:t>
      </w:r>
      <w:r>
        <w:rPr>
          <w:rFonts w:ascii="Times New Roman"/>
          <w:color w:val="auto"/>
          <w:highlight w:val="none"/>
        </w:rPr>
        <w:t>月</w:t>
      </w:r>
      <w:r>
        <w:rPr>
          <w:rFonts w:hint="eastAsia" w:ascii="Times New Roman"/>
          <w:color w:val="auto"/>
          <w:highlight w:val="none"/>
          <w:lang w:val="en-US" w:eastAsia="zh-CN"/>
        </w:rPr>
        <w:t>8</w:t>
      </w:r>
      <w:r>
        <w:rPr>
          <w:rFonts w:ascii="Times New Roman"/>
          <w:color w:val="auto"/>
        </w:rPr>
        <w:t>日</w:t>
      </w:r>
      <w:r>
        <w:rPr>
          <w:rFonts w:hint="eastAsia" w:ascii="Times New Roman"/>
        </w:rPr>
        <w:t>在</w:t>
      </w:r>
      <w:r>
        <w:rPr>
          <w:rFonts w:hint="eastAsia" w:ascii="Times New Roman"/>
          <w:lang w:val="en-US" w:eastAsia="zh-CN"/>
        </w:rPr>
        <w:t>酒泉</w:t>
      </w:r>
      <w:r>
        <w:rPr>
          <w:rFonts w:hint="eastAsia" w:ascii="Times New Roman"/>
        </w:rPr>
        <w:t>日报</w:t>
      </w:r>
      <w:r>
        <w:rPr>
          <w:rFonts w:ascii="Times New Roman"/>
          <w:bCs/>
        </w:rPr>
        <w:t>同步进行了</w:t>
      </w:r>
      <w:r>
        <w:rPr>
          <w:rFonts w:hint="eastAsia" w:ascii="Times New Roman"/>
          <w:bCs/>
          <w:lang w:val="en-US" w:eastAsia="zh-CN"/>
        </w:rPr>
        <w:t>报纸</w:t>
      </w:r>
      <w:r>
        <w:rPr>
          <w:rFonts w:ascii="Times New Roman"/>
          <w:bCs/>
        </w:rPr>
        <w:t>第</w:t>
      </w:r>
      <w:r>
        <w:rPr>
          <w:rFonts w:hint="eastAsia" w:ascii="Times New Roman"/>
          <w:bCs/>
          <w:lang w:val="en-US" w:eastAsia="zh-CN"/>
        </w:rPr>
        <w:t>二</w:t>
      </w:r>
      <w:r>
        <w:rPr>
          <w:rFonts w:hint="eastAsia" w:ascii="Times New Roman"/>
          <w:bCs/>
        </w:rPr>
        <w:t>次</w:t>
      </w:r>
      <w:r>
        <w:rPr>
          <w:rFonts w:ascii="Times New Roman"/>
          <w:bCs/>
        </w:rPr>
        <w:t>公示</w:t>
      </w:r>
      <w:r>
        <w:rPr>
          <w:rFonts w:ascii="Times New Roman"/>
          <w:bCs/>
          <w:color w:val="000000" w:themeColor="text1"/>
          <w14:textFill>
            <w14:solidFill>
              <w14:schemeClr w14:val="tx1"/>
            </w14:solidFill>
          </w14:textFill>
        </w:rPr>
        <w:t>。</w:t>
      </w:r>
      <w:r>
        <w:rPr>
          <w:rFonts w:hint="eastAsia" w:ascii="Times New Roman"/>
          <w:bCs/>
          <w:color w:val="000000" w:themeColor="text1"/>
          <w:kern w:val="2"/>
          <w14:textFill>
            <w14:solidFill>
              <w14:schemeClr w14:val="tx1"/>
            </w14:solidFill>
          </w14:textFill>
        </w:rPr>
        <w:t>公示期间环评报告书完成征求意见稿</w:t>
      </w:r>
      <w:r>
        <w:rPr>
          <w:rFonts w:hint="eastAsia" w:ascii="Times New Roman"/>
          <w:bCs/>
          <w:kern w:val="2"/>
        </w:rPr>
        <w:t>，公示内容主要为</w:t>
      </w:r>
      <w:r>
        <w:rPr>
          <w:rFonts w:ascii="Times New Roman"/>
          <w:bCs/>
          <w:kern w:val="2"/>
        </w:rPr>
        <w:t>境影响报告书征求意见稿全文的网络链接及查阅纸质报告书的方式和途径</w:t>
      </w:r>
      <w:r>
        <w:rPr>
          <w:rFonts w:hint="eastAsia" w:ascii="Times New Roman"/>
          <w:bCs/>
          <w:kern w:val="2"/>
        </w:rPr>
        <w:t>、</w:t>
      </w:r>
      <w:r>
        <w:rPr>
          <w:rFonts w:ascii="Times New Roman"/>
          <w:bCs/>
          <w:kern w:val="2"/>
        </w:rPr>
        <w:t>征求意见的公众范围</w:t>
      </w:r>
      <w:r>
        <w:rPr>
          <w:rFonts w:hint="eastAsia" w:ascii="Times New Roman"/>
          <w:bCs/>
          <w:kern w:val="2"/>
        </w:rPr>
        <w:t>、</w:t>
      </w:r>
      <w:r>
        <w:rPr>
          <w:rFonts w:ascii="Times New Roman"/>
          <w:bCs/>
          <w:kern w:val="2"/>
        </w:rPr>
        <w:t>公众意见表的网络链接</w:t>
      </w:r>
      <w:r>
        <w:rPr>
          <w:rFonts w:hint="eastAsia" w:ascii="Times New Roman"/>
          <w:bCs/>
          <w:kern w:val="2"/>
        </w:rPr>
        <w:t>、</w:t>
      </w:r>
      <w:r>
        <w:rPr>
          <w:rFonts w:ascii="Times New Roman"/>
          <w:bCs/>
          <w:kern w:val="2"/>
        </w:rPr>
        <w:t>公众提出意见的方式和途径</w:t>
      </w:r>
      <w:r>
        <w:rPr>
          <w:rFonts w:hint="eastAsia" w:ascii="Times New Roman"/>
          <w:bCs/>
          <w:kern w:val="2"/>
        </w:rPr>
        <w:t>、</w:t>
      </w:r>
      <w:r>
        <w:rPr>
          <w:rFonts w:ascii="Times New Roman"/>
          <w:bCs/>
          <w:kern w:val="2"/>
        </w:rPr>
        <w:t>公众提出意见的起止时间</w:t>
      </w:r>
      <w:r>
        <w:rPr>
          <w:rFonts w:hint="eastAsia" w:ascii="Times New Roman"/>
          <w:bCs/>
          <w:kern w:val="2"/>
        </w:rPr>
        <w:t>。</w:t>
      </w:r>
    </w:p>
    <w:p>
      <w:pPr>
        <w:spacing w:line="360" w:lineRule="auto"/>
        <w:ind w:firstLine="480" w:firstLineChars="200"/>
        <w:rPr>
          <w:rFonts w:ascii="Times New Roman"/>
          <w:bCs/>
          <w:kern w:val="2"/>
        </w:rPr>
      </w:pPr>
      <w:r>
        <w:rPr>
          <w:rFonts w:hint="eastAsia" w:ascii="Times New Roman"/>
          <w:bCs/>
          <w:kern w:val="2"/>
        </w:rPr>
        <w:t>公示发布之日起10个工作日内与建设单位或环评单位联系，反馈对本项目在环保方面的意见和建议。</w:t>
      </w:r>
    </w:p>
    <w:p>
      <w:pPr>
        <w:spacing w:line="360" w:lineRule="auto"/>
        <w:ind w:firstLine="480" w:firstLineChars="200"/>
        <w:jc w:val="left"/>
        <w:outlineLvl w:val="1"/>
        <w:rPr>
          <w:rFonts w:ascii="Times New Roman" w:eastAsiaTheme="majorEastAsia"/>
          <w:b/>
          <w:kern w:val="2"/>
        </w:rPr>
      </w:pPr>
      <w:r>
        <w:rPr>
          <w:rFonts w:hint="eastAsia" w:ascii="Times New Roman" w:eastAsiaTheme="majorEastAsia"/>
          <w:b/>
          <w:kern w:val="2"/>
        </w:rPr>
        <w:t>3.2公示方式</w:t>
      </w:r>
    </w:p>
    <w:p>
      <w:pPr>
        <w:spacing w:line="360" w:lineRule="auto"/>
        <w:ind w:firstLine="480" w:firstLineChars="200"/>
        <w:rPr>
          <w:rFonts w:ascii="Times New Roman"/>
          <w:bCs/>
          <w:kern w:val="2"/>
        </w:rPr>
      </w:pPr>
      <w:r>
        <w:rPr>
          <w:rFonts w:hint="eastAsia" w:ascii="Times New Roman"/>
          <w:bCs/>
          <w:kern w:val="2"/>
        </w:rPr>
        <w:t>（1）</w:t>
      </w:r>
      <w:r>
        <w:rPr>
          <w:rFonts w:ascii="Times New Roman"/>
          <w:bCs/>
          <w:kern w:val="2"/>
        </w:rPr>
        <w:t>报纸</w:t>
      </w:r>
    </w:p>
    <w:p>
      <w:pPr>
        <w:spacing w:line="360" w:lineRule="auto"/>
        <w:ind w:firstLine="480" w:firstLineChars="200"/>
        <w:rPr>
          <w:rFonts w:ascii="Times New Roman"/>
        </w:rPr>
      </w:pPr>
      <w:r>
        <w:rPr>
          <w:rFonts w:ascii="Times New Roman"/>
        </w:rPr>
        <w:t>①载体选取的符合性分析</w:t>
      </w:r>
    </w:p>
    <w:p>
      <w:pPr>
        <w:spacing w:line="360" w:lineRule="auto"/>
        <w:ind w:firstLine="480" w:firstLineChars="20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lang w:val="en-US" w:eastAsia="zh-CN"/>
          <w14:textFill>
            <w14:solidFill>
              <w14:schemeClr w14:val="tx1"/>
            </w14:solidFill>
          </w14:textFill>
        </w:rPr>
        <w:t>酒泉</w:t>
      </w:r>
      <w:r>
        <w:rPr>
          <w:rFonts w:hint="eastAsia"/>
          <w:color w:val="000000" w:themeColor="text1"/>
          <w14:textFill>
            <w14:solidFill>
              <w14:schemeClr w14:val="tx1"/>
            </w14:solidFill>
          </w14:textFill>
        </w:rPr>
        <w:t>日报</w:t>
      </w:r>
      <w:r>
        <w:rPr>
          <w:rFonts w:ascii="Times New Roman"/>
          <w:color w:val="000000" w:themeColor="text1"/>
          <w14:textFill>
            <w14:solidFill>
              <w14:schemeClr w14:val="tx1"/>
            </w14:solidFill>
          </w14:textFill>
        </w:rPr>
        <w:t>》是市委的机关报，承担着宣传中央、省委，特别是</w:t>
      </w:r>
      <w:r>
        <w:rPr>
          <w:rFonts w:hint="eastAsia" w:ascii="Times New Roman"/>
          <w:color w:val="000000" w:themeColor="text1"/>
          <w:lang w:eastAsia="zh-CN"/>
          <w14:textFill>
            <w14:solidFill>
              <w14:schemeClr w14:val="tx1"/>
            </w14:solidFill>
          </w14:textFill>
        </w:rPr>
        <w:t>市</w:t>
      </w:r>
      <w:r>
        <w:rPr>
          <w:rFonts w:ascii="Times New Roman"/>
          <w:color w:val="000000" w:themeColor="text1"/>
          <w14:textFill>
            <w14:solidFill>
              <w14:schemeClr w14:val="tx1"/>
            </w14:solidFill>
          </w14:textFill>
        </w:rPr>
        <w:t>委、</w:t>
      </w:r>
      <w:r>
        <w:rPr>
          <w:rFonts w:hint="eastAsia" w:ascii="Times New Roman"/>
          <w:color w:val="000000" w:themeColor="text1"/>
          <w:lang w:eastAsia="zh-CN"/>
          <w14:textFill>
            <w14:solidFill>
              <w14:schemeClr w14:val="tx1"/>
            </w14:solidFill>
          </w14:textFill>
        </w:rPr>
        <w:t>市</w:t>
      </w:r>
      <w:r>
        <w:rPr>
          <w:rFonts w:ascii="Times New Roman"/>
          <w:color w:val="000000" w:themeColor="text1"/>
          <w14:textFill>
            <w14:solidFill>
              <w14:schemeClr w14:val="tx1"/>
            </w14:solidFill>
          </w14:textFill>
        </w:rPr>
        <w:t>政府大政方针，重大决策和工作部署的重要责任，服务</w:t>
      </w:r>
      <w:r>
        <w:rPr>
          <w:rFonts w:hint="eastAsia" w:ascii="Times New Roman"/>
          <w:color w:val="000000" w:themeColor="text1"/>
          <w:lang w:val="en-US" w:eastAsia="zh-CN"/>
          <w14:textFill>
            <w14:solidFill>
              <w14:schemeClr w14:val="tx1"/>
            </w14:solidFill>
          </w14:textFill>
        </w:rPr>
        <w:t>酒泉</w:t>
      </w:r>
      <w:r>
        <w:rPr>
          <w:rFonts w:ascii="Times New Roman"/>
          <w:color w:val="000000" w:themeColor="text1"/>
          <w14:textFill>
            <w14:solidFill>
              <w14:schemeClr w14:val="tx1"/>
            </w14:solidFill>
          </w14:textFill>
        </w:rPr>
        <w:t>地区广大读者，是</w:t>
      </w:r>
      <w:r>
        <w:rPr>
          <w:rFonts w:hint="eastAsia" w:ascii="Times New Roman"/>
          <w:color w:val="000000" w:themeColor="text1"/>
          <w:lang w:val="en-US" w:eastAsia="zh-CN"/>
          <w14:textFill>
            <w14:solidFill>
              <w14:schemeClr w14:val="tx1"/>
            </w14:solidFill>
          </w14:textFill>
        </w:rPr>
        <w:t>酒泉</w:t>
      </w:r>
      <w:r>
        <w:rPr>
          <w:rFonts w:ascii="Times New Roman"/>
          <w:color w:val="000000" w:themeColor="text1"/>
          <w14:textFill>
            <w14:solidFill>
              <w14:schemeClr w14:val="tx1"/>
            </w14:solidFill>
          </w14:textFill>
        </w:rPr>
        <w:t>的主流媒体。</w:t>
      </w:r>
    </w:p>
    <w:p>
      <w:pPr>
        <w:spacing w:line="360" w:lineRule="auto"/>
        <w:ind w:firstLine="480" w:firstLineChars="20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②登报公示情况</w:t>
      </w:r>
    </w:p>
    <w:p>
      <w:pPr>
        <w:spacing w:line="360" w:lineRule="auto"/>
        <w:ind w:firstLine="480" w:firstLineChars="200"/>
        <w:rPr>
          <w:rFonts w:ascii="Times New Roman"/>
          <w:bCs/>
          <w:kern w:val="2"/>
        </w:rPr>
      </w:pPr>
      <w:r>
        <w:rPr>
          <w:rFonts w:hint="eastAsia" w:ascii="Times New Roman"/>
          <w:bCs/>
        </w:rPr>
        <w:t>甘肃湛昌矿业有限责任公司</w:t>
      </w:r>
      <w:r>
        <w:rPr>
          <w:rFonts w:ascii="Times New Roman"/>
          <w:bCs/>
        </w:rPr>
        <w:t>于</w:t>
      </w:r>
      <w:r>
        <w:rPr>
          <w:rFonts w:hint="eastAsia" w:ascii="Times New Roman"/>
        </w:rPr>
        <w:t>20</w:t>
      </w:r>
      <w:r>
        <w:rPr>
          <w:rFonts w:ascii="Times New Roman"/>
        </w:rPr>
        <w:t>2</w:t>
      </w:r>
      <w:r>
        <w:rPr>
          <w:rFonts w:hint="eastAsia" w:ascii="Times New Roman"/>
          <w:lang w:val="en-US" w:eastAsia="zh-CN"/>
        </w:rPr>
        <w:t>3</w:t>
      </w:r>
      <w:r>
        <w:rPr>
          <w:rFonts w:hint="eastAsia" w:ascii="Times New Roman"/>
        </w:rPr>
        <w:t>年</w:t>
      </w:r>
      <w:r>
        <w:rPr>
          <w:rFonts w:hint="eastAsia" w:ascii="Times New Roman"/>
          <w:lang w:val="en-US" w:eastAsia="zh-CN"/>
        </w:rPr>
        <w:t>9</w:t>
      </w:r>
      <w:r>
        <w:rPr>
          <w:rFonts w:hint="eastAsia" w:ascii="Times New Roman"/>
        </w:rPr>
        <w:t>月</w:t>
      </w:r>
      <w:r>
        <w:rPr>
          <w:rFonts w:hint="eastAsia" w:ascii="Times New Roman"/>
          <w:lang w:val="en-US" w:eastAsia="zh-CN"/>
        </w:rPr>
        <w:t>5</w:t>
      </w:r>
      <w:r>
        <w:rPr>
          <w:rFonts w:hint="eastAsia" w:ascii="Times New Roman"/>
        </w:rPr>
        <w:t>日、</w:t>
      </w:r>
      <w:r>
        <w:rPr>
          <w:rFonts w:ascii="Times New Roman"/>
          <w:color w:val="auto"/>
          <w:highlight w:val="none"/>
        </w:rPr>
        <w:t>20</w:t>
      </w:r>
      <w:r>
        <w:rPr>
          <w:rFonts w:hint="eastAsia" w:ascii="Times New Roman"/>
          <w:color w:val="auto"/>
          <w:highlight w:val="none"/>
          <w:lang w:val="en-US" w:eastAsia="zh-CN"/>
        </w:rPr>
        <w:t>23</w:t>
      </w:r>
      <w:r>
        <w:rPr>
          <w:rFonts w:ascii="Times New Roman"/>
          <w:color w:val="auto"/>
          <w:highlight w:val="none"/>
        </w:rPr>
        <w:t>年</w:t>
      </w:r>
      <w:r>
        <w:rPr>
          <w:rFonts w:hint="eastAsia" w:ascii="Times New Roman"/>
          <w:color w:val="auto"/>
          <w:highlight w:val="none"/>
          <w:lang w:val="en-US" w:eastAsia="zh-CN"/>
        </w:rPr>
        <w:t>9</w:t>
      </w:r>
      <w:r>
        <w:rPr>
          <w:rFonts w:ascii="Times New Roman"/>
          <w:color w:val="auto"/>
          <w:highlight w:val="none"/>
        </w:rPr>
        <w:t>月</w:t>
      </w:r>
      <w:r>
        <w:rPr>
          <w:rFonts w:hint="eastAsia" w:ascii="Times New Roman"/>
          <w:color w:val="auto"/>
          <w:highlight w:val="none"/>
          <w:lang w:val="en-US" w:eastAsia="zh-CN"/>
        </w:rPr>
        <w:t>8</w:t>
      </w:r>
      <w:r>
        <w:rPr>
          <w:rFonts w:ascii="Times New Roman"/>
          <w:color w:val="auto"/>
          <w:highlight w:val="none"/>
        </w:rPr>
        <w:t>日</w:t>
      </w:r>
      <w:r>
        <w:rPr>
          <w:rFonts w:hint="eastAsia" w:ascii="Times New Roman"/>
          <w:color w:val="auto"/>
        </w:rPr>
        <w:t>在</w:t>
      </w:r>
      <w:r>
        <w:rPr>
          <w:rFonts w:hint="eastAsia" w:ascii="Times New Roman"/>
          <w:lang w:val="en-US" w:eastAsia="zh-CN"/>
        </w:rPr>
        <w:t>酒泉</w:t>
      </w:r>
      <w:r>
        <w:rPr>
          <w:rFonts w:hint="eastAsia" w:ascii="Times New Roman"/>
        </w:rPr>
        <w:t>日报</w:t>
      </w:r>
      <w:r>
        <w:rPr>
          <w:rFonts w:ascii="Times New Roman"/>
          <w:bCs/>
          <w:kern w:val="2"/>
        </w:rPr>
        <w:t>发</w:t>
      </w:r>
      <w:r>
        <w:rPr>
          <w:rFonts w:ascii="Times New Roman"/>
          <w:bCs/>
          <w:color w:val="000000" w:themeColor="text1"/>
          <w:kern w:val="2"/>
          <w14:textFill>
            <w14:solidFill>
              <w14:schemeClr w14:val="tx1"/>
            </w14:solidFill>
          </w14:textFill>
        </w:rPr>
        <w:t>布了本项目环境影响评价</w:t>
      </w:r>
      <w:r>
        <w:rPr>
          <w:rFonts w:ascii="Times New Roman"/>
          <w:bCs/>
          <w:kern w:val="2"/>
        </w:rPr>
        <w:t>信息两次公示</w:t>
      </w:r>
      <w:r>
        <w:rPr>
          <w:rFonts w:hint="eastAsia" w:ascii="Times New Roman"/>
          <w:bCs/>
          <w:kern w:val="2"/>
        </w:rPr>
        <w:t>。</w:t>
      </w:r>
    </w:p>
    <w:p>
      <w:pPr>
        <w:spacing w:line="360" w:lineRule="auto"/>
        <w:ind w:firstLine="480" w:firstLineChars="200"/>
        <w:rPr>
          <w:rFonts w:ascii="Times New Roman"/>
          <w:bCs/>
          <w:kern w:val="2"/>
        </w:rPr>
      </w:pPr>
      <w:r>
        <w:rPr>
          <w:rFonts w:ascii="Times New Roman"/>
          <w:bCs/>
          <w:kern w:val="2"/>
        </w:rPr>
        <w:t>登报公示截图</w:t>
      </w:r>
      <w:r>
        <w:rPr>
          <w:rFonts w:ascii="Times New Roman"/>
          <w:bCs/>
          <w:color w:val="auto"/>
          <w:kern w:val="2"/>
        </w:rPr>
        <w:t>见</w:t>
      </w:r>
      <w:r>
        <w:rPr>
          <w:rFonts w:hint="eastAsia" w:ascii="Times New Roman"/>
          <w:bCs/>
          <w:color w:val="auto"/>
          <w:kern w:val="2"/>
        </w:rPr>
        <w:t>图2</w:t>
      </w:r>
      <w:r>
        <w:rPr>
          <w:rFonts w:ascii="Times New Roman"/>
          <w:bCs/>
          <w:color w:val="auto"/>
          <w:kern w:val="2"/>
        </w:rPr>
        <w:t>。</w:t>
      </w:r>
    </w:p>
    <w:p>
      <w:pPr>
        <w:keepNext w:val="0"/>
        <w:keepLines w:val="0"/>
        <w:pageBreakBefore w:val="0"/>
        <w:widowControl w:val="0"/>
        <w:kinsoku/>
        <w:wordWrap/>
        <w:overflowPunct/>
        <w:topLinePunct w:val="0"/>
        <w:autoSpaceDE/>
        <w:autoSpaceDN/>
        <w:bidi w:val="0"/>
        <w:adjustRightInd/>
        <w:snapToGrid/>
        <w:spacing w:before="156" w:beforeLines="50"/>
        <w:ind w:firstLine="0" w:firstLineChars="0"/>
        <w:jc w:val="both"/>
        <w:textAlignment w:val="auto"/>
        <w:rPr>
          <w:rFonts w:hint="eastAsia" w:ascii="Times New Roman" w:eastAsia="宋体"/>
          <w:b/>
          <w:bCs/>
          <w:color w:val="auto"/>
          <w:kern w:val="2"/>
          <w:highlight w:val="none"/>
          <w:lang w:eastAsia="zh-CN"/>
        </w:rPr>
      </w:pPr>
      <w:r>
        <w:rPr>
          <w:rFonts w:hint="eastAsia" w:ascii="Times New Roman" w:eastAsia="宋体"/>
          <w:b/>
          <w:bCs/>
          <w:color w:val="auto"/>
          <w:kern w:val="2"/>
          <w:highlight w:val="none"/>
          <w:lang w:eastAsia="zh-CN"/>
        </w:rPr>
        <w:drawing>
          <wp:inline distT="0" distB="0" distL="114300" distR="114300">
            <wp:extent cx="5298440" cy="8021320"/>
            <wp:effectExtent l="0" t="0" r="16510" b="17780"/>
            <wp:docPr id="4" name="图片 4" descr="报纸第一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报纸第一次"/>
                    <pic:cNvPicPr>
                      <a:picLocks noChangeAspect="1"/>
                    </pic:cNvPicPr>
                  </pic:nvPicPr>
                  <pic:blipFill>
                    <a:blip r:embed="rId5"/>
                    <a:stretch>
                      <a:fillRect/>
                    </a:stretch>
                  </pic:blipFill>
                  <pic:spPr>
                    <a:xfrm>
                      <a:off x="0" y="0"/>
                      <a:ext cx="5298440" cy="80213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6" w:beforeLines="50"/>
        <w:ind w:firstLine="0" w:firstLineChars="0"/>
        <w:jc w:val="center"/>
        <w:textAlignment w:val="auto"/>
        <w:rPr>
          <w:rFonts w:ascii="Times New Roman"/>
          <w:b/>
          <w:bCs/>
          <w:color w:val="FF0000"/>
          <w:kern w:val="2"/>
          <w:highlight w:val="none"/>
        </w:rPr>
      </w:pPr>
      <w:r>
        <w:rPr>
          <w:rFonts w:hint="eastAsia" w:ascii="Times New Roman"/>
          <w:b/>
          <w:bCs/>
          <w:color w:val="auto"/>
          <w:kern w:val="2"/>
          <w:highlight w:val="none"/>
        </w:rPr>
        <w:t>图</w:t>
      </w:r>
      <w:r>
        <w:rPr>
          <w:rFonts w:hint="eastAsia" w:ascii="Times New Roman"/>
          <w:b/>
          <w:bCs/>
          <w:color w:val="auto"/>
          <w:kern w:val="2"/>
          <w:highlight w:val="none"/>
          <w:lang w:val="en-US" w:eastAsia="zh-CN"/>
        </w:rPr>
        <w:t>2</w:t>
      </w:r>
      <w:r>
        <w:rPr>
          <w:rFonts w:hint="eastAsia" w:ascii="Times New Roman"/>
          <w:b/>
          <w:bCs/>
          <w:color w:val="auto"/>
          <w:kern w:val="2"/>
          <w:highlight w:val="none"/>
        </w:rPr>
        <w:t xml:space="preserve">  报纸</w:t>
      </w:r>
      <w:r>
        <w:rPr>
          <w:rFonts w:hint="eastAsia" w:ascii="Times New Roman"/>
          <w:b/>
          <w:bCs/>
          <w:color w:val="auto"/>
          <w:kern w:val="2"/>
          <w:highlight w:val="none"/>
          <w:lang w:val="en-US" w:eastAsia="zh-CN"/>
        </w:rPr>
        <w:t>第一次</w:t>
      </w:r>
      <w:r>
        <w:rPr>
          <w:rFonts w:hint="eastAsia" w:ascii="Times New Roman"/>
          <w:b/>
          <w:bCs/>
          <w:color w:val="auto"/>
          <w:kern w:val="2"/>
          <w:highlight w:val="none"/>
        </w:rPr>
        <w:t>公示截图</w:t>
      </w:r>
    </w:p>
    <w:p>
      <w:pPr>
        <w:pStyle w:val="20"/>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156" w:beforeLines="50"/>
        <w:ind w:firstLine="0" w:firstLineChars="0"/>
        <w:jc w:val="center"/>
        <w:textAlignment w:val="auto"/>
        <w:rPr>
          <w:rFonts w:hint="eastAsia" w:ascii="Times New Roman" w:eastAsia="宋体"/>
          <w:b/>
          <w:bCs/>
          <w:color w:val="auto"/>
          <w:kern w:val="2"/>
          <w:highlight w:val="none"/>
          <w:lang w:eastAsia="zh-CN"/>
        </w:rPr>
      </w:pPr>
      <w:r>
        <w:rPr>
          <w:rFonts w:hint="eastAsia" w:ascii="Times New Roman" w:eastAsia="宋体"/>
          <w:b/>
          <w:bCs/>
          <w:color w:val="auto"/>
          <w:kern w:val="2"/>
          <w:highlight w:val="none"/>
          <w:lang w:eastAsia="zh-CN"/>
        </w:rPr>
        <w:drawing>
          <wp:inline distT="0" distB="0" distL="114300" distR="114300">
            <wp:extent cx="5295900" cy="4634230"/>
            <wp:effectExtent l="0" t="0" r="0" b="13970"/>
            <wp:docPr id="8" name="图片 8" descr="报纸第二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报纸第二次"/>
                    <pic:cNvPicPr>
                      <a:picLocks noChangeAspect="1"/>
                    </pic:cNvPicPr>
                  </pic:nvPicPr>
                  <pic:blipFill>
                    <a:blip r:embed="rId6"/>
                    <a:stretch>
                      <a:fillRect/>
                    </a:stretch>
                  </pic:blipFill>
                  <pic:spPr>
                    <a:xfrm>
                      <a:off x="0" y="0"/>
                      <a:ext cx="5295900" cy="4634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6" w:beforeLines="50"/>
        <w:ind w:firstLine="0" w:firstLineChars="0"/>
        <w:jc w:val="center"/>
        <w:textAlignment w:val="auto"/>
        <w:rPr>
          <w:rFonts w:ascii="Times New Roman"/>
          <w:b/>
          <w:bCs/>
          <w:color w:val="FF0000"/>
          <w:kern w:val="2"/>
          <w:highlight w:val="none"/>
        </w:rPr>
      </w:pPr>
      <w:r>
        <w:rPr>
          <w:rFonts w:hint="eastAsia" w:ascii="Times New Roman"/>
          <w:b/>
          <w:bCs/>
          <w:color w:val="auto"/>
          <w:kern w:val="2"/>
          <w:highlight w:val="none"/>
        </w:rPr>
        <w:t>图</w:t>
      </w:r>
      <w:r>
        <w:rPr>
          <w:rFonts w:hint="eastAsia" w:ascii="Times New Roman"/>
          <w:b/>
          <w:bCs/>
          <w:color w:val="auto"/>
          <w:kern w:val="2"/>
          <w:highlight w:val="none"/>
          <w:lang w:val="en-US" w:eastAsia="zh-CN"/>
        </w:rPr>
        <w:t>3</w:t>
      </w:r>
      <w:r>
        <w:rPr>
          <w:rFonts w:hint="eastAsia" w:ascii="Times New Roman"/>
          <w:b/>
          <w:bCs/>
          <w:color w:val="auto"/>
          <w:kern w:val="2"/>
          <w:highlight w:val="none"/>
        </w:rPr>
        <w:t xml:space="preserve">  报纸</w:t>
      </w:r>
      <w:r>
        <w:rPr>
          <w:rFonts w:hint="eastAsia" w:ascii="Times New Roman"/>
          <w:b/>
          <w:bCs/>
          <w:color w:val="auto"/>
          <w:kern w:val="2"/>
          <w:highlight w:val="none"/>
          <w:lang w:val="en-US" w:eastAsia="zh-CN"/>
        </w:rPr>
        <w:t>第二次</w:t>
      </w:r>
      <w:r>
        <w:rPr>
          <w:rFonts w:hint="eastAsia" w:ascii="Times New Roman"/>
          <w:b/>
          <w:bCs/>
          <w:color w:val="auto"/>
          <w:kern w:val="2"/>
          <w:highlight w:val="none"/>
        </w:rPr>
        <w:t>公示截图</w:t>
      </w:r>
    </w:p>
    <w:p>
      <w:pPr>
        <w:spacing w:before="156" w:beforeLines="50" w:line="360" w:lineRule="auto"/>
        <w:ind w:firstLine="480" w:firstLineChars="200"/>
        <w:rPr>
          <w:rFonts w:ascii="Times New Roman"/>
          <w:bCs/>
          <w:kern w:val="2"/>
        </w:rPr>
      </w:pPr>
      <w:r>
        <w:rPr>
          <w:rFonts w:hint="eastAsia" w:ascii="Times New Roman"/>
          <w:bCs/>
          <w:kern w:val="2"/>
        </w:rPr>
        <w:t>（2）</w:t>
      </w:r>
      <w:r>
        <w:rPr>
          <w:rFonts w:ascii="Times New Roman"/>
          <w:bCs/>
          <w:kern w:val="2"/>
        </w:rPr>
        <w:t>网络</w:t>
      </w:r>
    </w:p>
    <w:p>
      <w:pPr>
        <w:spacing w:line="360" w:lineRule="auto"/>
        <w:ind w:firstLine="480" w:firstLineChars="200"/>
        <w:rPr>
          <w:rFonts w:ascii="Times New Roman"/>
          <w:bCs/>
          <w:kern w:val="2"/>
        </w:rPr>
      </w:pPr>
      <w:r>
        <w:rPr>
          <w:rFonts w:ascii="Times New Roman"/>
          <w:bCs/>
          <w:kern w:val="2"/>
        </w:rPr>
        <w:t>1）载体选取的符合性分析</w:t>
      </w:r>
    </w:p>
    <w:p>
      <w:pPr>
        <w:spacing w:line="360" w:lineRule="auto"/>
        <w:ind w:firstLine="480" w:firstLineChars="200"/>
        <w:rPr>
          <w:rFonts w:ascii="Times New Roman"/>
          <w:bCs/>
        </w:rPr>
      </w:pPr>
      <w:r>
        <w:rPr>
          <w:rFonts w:ascii="Times New Roman"/>
        </w:rPr>
        <w:t>依据《公参办法》第</w:t>
      </w:r>
      <w:r>
        <w:rPr>
          <w:rFonts w:hint="eastAsia" w:ascii="Times New Roman"/>
        </w:rPr>
        <w:t>十</w:t>
      </w:r>
      <w:r>
        <w:rPr>
          <w:rFonts w:ascii="Times New Roman"/>
        </w:rPr>
        <w:t>条：</w:t>
      </w:r>
      <w:r>
        <w:rPr>
          <w:rFonts w:hint="eastAsia" w:ascii="Times New Roman"/>
        </w:rPr>
        <w:t>“建设项目环境影响报告书征求意见稿形成后，建设单位应当公开下列信息，征求与该建设项目环境影响有关的意见”。</w:t>
      </w:r>
      <w:r>
        <w:rPr>
          <w:rFonts w:hint="eastAsia" w:ascii="Times New Roman"/>
          <w:bCs/>
          <w:lang w:val="en-US" w:eastAsia="zh-CN"/>
        </w:rPr>
        <w:t>西部（</w:t>
      </w:r>
      <w:r>
        <w:rPr>
          <w:rFonts w:hint="default" w:ascii="Times New Roman"/>
          <w:bCs/>
        </w:rPr>
        <w:t>甘肃</w:t>
      </w:r>
      <w:r>
        <w:rPr>
          <w:rFonts w:hint="eastAsia" w:ascii="Times New Roman"/>
          <w:bCs/>
          <w:lang w:val="en-US" w:eastAsia="zh-CN"/>
        </w:rPr>
        <w:t>）生态环境工程</w:t>
      </w:r>
      <w:r>
        <w:rPr>
          <w:rFonts w:hint="default" w:ascii="Times New Roman"/>
          <w:bCs/>
        </w:rPr>
        <w:t>有限公司</w:t>
      </w:r>
      <w:r>
        <w:rPr>
          <w:rFonts w:ascii="Times New Roman"/>
          <w:bCs/>
        </w:rPr>
        <w:t>网站是本项目环评单位网站，</w:t>
      </w:r>
      <w:r>
        <w:rPr>
          <w:rFonts w:hint="eastAsia" w:ascii="Times New Roman"/>
          <w:bCs/>
        </w:rPr>
        <w:t>甘肃湛昌矿业有限责任公司</w:t>
      </w:r>
      <w:r>
        <w:rPr>
          <w:rFonts w:ascii="Times New Roman"/>
          <w:bCs/>
        </w:rPr>
        <w:t>于</w:t>
      </w:r>
      <w:r>
        <w:rPr>
          <w:rFonts w:hint="eastAsia" w:ascii="Times New Roman"/>
          <w:bCs/>
        </w:rPr>
        <w:t>202</w:t>
      </w:r>
      <w:r>
        <w:rPr>
          <w:rFonts w:hint="eastAsia" w:ascii="Times New Roman"/>
          <w:bCs/>
          <w:lang w:val="en-US" w:eastAsia="zh-CN"/>
        </w:rPr>
        <w:t>3</w:t>
      </w:r>
      <w:r>
        <w:rPr>
          <w:rFonts w:hint="eastAsia" w:ascii="Times New Roman"/>
          <w:bCs/>
        </w:rPr>
        <w:t>年</w:t>
      </w:r>
      <w:r>
        <w:rPr>
          <w:rFonts w:hint="eastAsia" w:ascii="Times New Roman"/>
          <w:bCs/>
          <w:lang w:val="en-US" w:eastAsia="zh-CN"/>
        </w:rPr>
        <w:t>9</w:t>
      </w:r>
      <w:r>
        <w:rPr>
          <w:rFonts w:hint="eastAsia" w:ascii="Times New Roman"/>
          <w:bCs/>
        </w:rPr>
        <w:t>月</w:t>
      </w:r>
      <w:r>
        <w:rPr>
          <w:rFonts w:hint="eastAsia" w:ascii="Times New Roman"/>
          <w:bCs/>
          <w:lang w:val="en-US" w:eastAsia="zh-CN"/>
        </w:rPr>
        <w:t>5</w:t>
      </w:r>
      <w:r>
        <w:rPr>
          <w:rFonts w:hint="eastAsia" w:ascii="Times New Roman"/>
          <w:bCs/>
        </w:rPr>
        <w:t>日</w:t>
      </w:r>
      <w:r>
        <w:rPr>
          <w:rFonts w:ascii="Times New Roman"/>
          <w:bCs/>
        </w:rPr>
        <w:t>在报告</w:t>
      </w:r>
      <w:r>
        <w:rPr>
          <w:rFonts w:hint="eastAsia" w:ascii="Times New Roman"/>
          <w:bCs/>
        </w:rPr>
        <w:t>书</w:t>
      </w:r>
      <w:r>
        <w:rPr>
          <w:rFonts w:hint="eastAsia" w:ascii="Times New Roman"/>
          <w:bCs/>
          <w:lang w:val="en-US" w:eastAsia="zh-CN"/>
        </w:rPr>
        <w:t>征求意见稿完成后</w:t>
      </w:r>
      <w:r>
        <w:rPr>
          <w:rFonts w:ascii="Times New Roman"/>
          <w:bCs/>
        </w:rPr>
        <w:t>在其网站进行了本项目第</w:t>
      </w:r>
      <w:r>
        <w:rPr>
          <w:rFonts w:hint="eastAsia" w:ascii="Times New Roman"/>
          <w:bCs/>
          <w:lang w:val="en-US" w:eastAsia="zh-CN"/>
        </w:rPr>
        <w:t>二</w:t>
      </w:r>
      <w:r>
        <w:rPr>
          <w:rFonts w:ascii="Times New Roman"/>
          <w:bCs/>
        </w:rPr>
        <w:t>次公示，公示时间为10个工作日，符合《建设项目环境影响评价公众参与办法》</w:t>
      </w:r>
      <w:r>
        <w:rPr>
          <w:rFonts w:hint="eastAsia" w:ascii="Times New Roman"/>
          <w:bCs/>
        </w:rPr>
        <w:t>要求。</w:t>
      </w:r>
    </w:p>
    <w:p>
      <w:pPr>
        <w:spacing w:line="360" w:lineRule="auto"/>
        <w:ind w:firstLine="480" w:firstLineChars="200"/>
        <w:rPr>
          <w:rFonts w:ascii="Times New Roman"/>
          <w:bCs/>
          <w:kern w:val="2"/>
        </w:rPr>
      </w:pPr>
      <w:r>
        <w:rPr>
          <w:rFonts w:ascii="Times New Roman"/>
          <w:bCs/>
          <w:kern w:val="2"/>
        </w:rPr>
        <w:t>2）网络公示情况</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pPr>
      <w:r>
        <w:rPr>
          <w:rFonts w:hint="eastAsia" w:ascii="Times New Roman"/>
          <w:bCs/>
        </w:rPr>
        <w:t>甘肃湛昌矿业有限责任公司</w:t>
      </w:r>
      <w:r>
        <w:rPr>
          <w:rFonts w:ascii="Times New Roman"/>
          <w:color w:val="000000" w:themeColor="text1"/>
          <w14:textFill>
            <w14:solidFill>
              <w14:schemeClr w14:val="tx1"/>
            </w14:solidFill>
          </w14:textFill>
        </w:rPr>
        <w:t>于202</w:t>
      </w:r>
      <w:r>
        <w:rPr>
          <w:rFonts w:hint="eastAsia" w:ascii="Times New Roman"/>
          <w:color w:val="000000" w:themeColor="text1"/>
          <w:lang w:val="en-US" w:eastAsia="zh-CN"/>
          <w14:textFill>
            <w14:solidFill>
              <w14:schemeClr w14:val="tx1"/>
            </w14:solidFill>
          </w14:textFill>
        </w:rPr>
        <w:t>3</w:t>
      </w:r>
      <w:r>
        <w:rPr>
          <w:rFonts w:ascii="Times New Roman"/>
          <w:color w:val="000000" w:themeColor="text1"/>
          <w14:textFill>
            <w14:solidFill>
              <w14:schemeClr w14:val="tx1"/>
            </w14:solidFill>
          </w14:textFill>
        </w:rPr>
        <w:t>年</w:t>
      </w:r>
      <w:r>
        <w:rPr>
          <w:rFonts w:hint="eastAsia" w:ascii="Times New Roman"/>
          <w:color w:val="000000" w:themeColor="text1"/>
          <w:lang w:val="en-US" w:eastAsia="zh-CN"/>
          <w14:textFill>
            <w14:solidFill>
              <w14:schemeClr w14:val="tx1"/>
            </w14:solidFill>
          </w14:textFill>
        </w:rPr>
        <w:t>9</w:t>
      </w:r>
      <w:r>
        <w:rPr>
          <w:rFonts w:ascii="Times New Roman"/>
          <w:color w:val="000000" w:themeColor="text1"/>
          <w14:textFill>
            <w14:solidFill>
              <w14:schemeClr w14:val="tx1"/>
            </w14:solidFill>
          </w14:textFill>
        </w:rPr>
        <w:t>月</w:t>
      </w:r>
      <w:r>
        <w:rPr>
          <w:rFonts w:hint="eastAsia" w:ascii="Times New Roman"/>
          <w:color w:val="000000" w:themeColor="text1"/>
          <w:lang w:val="en-US" w:eastAsia="zh-CN"/>
          <w14:textFill>
            <w14:solidFill>
              <w14:schemeClr w14:val="tx1"/>
            </w14:solidFill>
          </w14:textFill>
        </w:rPr>
        <w:t>5</w:t>
      </w:r>
      <w:r>
        <w:rPr>
          <w:rFonts w:ascii="Times New Roman"/>
          <w:color w:val="000000" w:themeColor="text1"/>
          <w14:textFill>
            <w14:solidFill>
              <w14:schemeClr w14:val="tx1"/>
            </w14:solidFill>
          </w14:textFill>
        </w:rPr>
        <w:t>日在</w:t>
      </w:r>
      <w:r>
        <w:rPr>
          <w:rFonts w:hint="eastAsia" w:ascii="Times New Roman"/>
          <w:bCs/>
          <w:lang w:val="en-US" w:eastAsia="zh-CN"/>
        </w:rPr>
        <w:t>西部（</w:t>
      </w:r>
      <w:r>
        <w:rPr>
          <w:rFonts w:hint="default" w:ascii="Times New Roman"/>
          <w:bCs/>
        </w:rPr>
        <w:t>甘肃</w:t>
      </w:r>
      <w:r>
        <w:rPr>
          <w:rFonts w:hint="eastAsia" w:ascii="Times New Roman"/>
          <w:bCs/>
          <w:lang w:val="en-US" w:eastAsia="zh-CN"/>
        </w:rPr>
        <w:t>）生态环境工程</w:t>
      </w:r>
      <w:r>
        <w:rPr>
          <w:rFonts w:hint="default" w:ascii="Times New Roman"/>
          <w:bCs/>
        </w:rPr>
        <w:t>有限公司</w:t>
      </w:r>
      <w:r>
        <w:rPr>
          <w:rFonts w:ascii="Times New Roman"/>
          <w:color w:val="000000" w:themeColor="text1"/>
          <w14:textFill>
            <w14:solidFill>
              <w14:schemeClr w14:val="tx1"/>
            </w14:solidFill>
          </w14:textFill>
        </w:rPr>
        <w:t>网站（</w:t>
      </w:r>
      <w:r>
        <w:rPr>
          <w:rFonts w:hint="eastAsia" w:ascii="Times New Roman"/>
          <w:color w:val="000000" w:themeColor="text1"/>
          <w14:textFill>
            <w14:solidFill>
              <w14:schemeClr w14:val="tx1"/>
            </w14:solidFill>
          </w14:textFill>
        </w:rPr>
        <w:t>http://www.xbsthjgc.com/col_tzgg/202309/8CD02C5996F9A1FA6849C6A050B09E45.htm）</w:t>
      </w:r>
      <w:r>
        <w:rPr>
          <w:rFonts w:ascii="Times New Roman"/>
        </w:rPr>
        <w:t>发布了第二次公示，并公示了</w:t>
      </w:r>
      <w:r>
        <w:rPr>
          <w:rFonts w:hint="eastAsia" w:ascii="Times New Roman"/>
        </w:rPr>
        <w:t>报告书征求意见稿</w:t>
      </w:r>
      <w:r>
        <w:rPr>
          <w:rFonts w:ascii="Times New Roman"/>
        </w:rPr>
        <w:t>。公告日期不少于10个工作日。网络公示截图</w:t>
      </w:r>
      <w:r>
        <w:rPr>
          <w:rFonts w:hint="eastAsia" w:ascii="Times New Roman"/>
        </w:rPr>
        <w:t>见图</w:t>
      </w:r>
      <w:r>
        <w:rPr>
          <w:rFonts w:hint="eastAsia" w:ascii="Times New Roman"/>
          <w:lang w:val="en-US" w:eastAsia="zh-CN"/>
        </w:rPr>
        <w:t>4</w:t>
      </w:r>
      <w:r>
        <w:rPr>
          <w:rFonts w:ascii="Times New Roma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b/>
          <w:color w:val="000000" w:themeColor="text1"/>
          <w:kern w:val="2"/>
          <w14:textFill>
            <w14:solidFill>
              <w14:schemeClr w14:val="tx1"/>
            </w14:solidFill>
          </w14:textFill>
        </w:rPr>
      </w:pPr>
      <w:r>
        <w:rPr>
          <w:rFonts w:hint="eastAsia" w:ascii="Times New Roman"/>
          <w:b/>
          <w:color w:val="000000" w:themeColor="text1"/>
          <w:kern w:val="2"/>
          <w14:textFill>
            <w14:solidFill>
              <w14:schemeClr w14:val="tx1"/>
            </w14:solidFill>
          </w14:textFill>
        </w:rPr>
        <w:drawing>
          <wp:inline distT="0" distB="0" distL="114300" distR="114300">
            <wp:extent cx="5285105" cy="8027035"/>
            <wp:effectExtent l="0" t="0" r="10795" b="12065"/>
            <wp:docPr id="9" name="图片 9" descr="ebd1312952a1bc5bf81a52ea7456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bd1312952a1bc5bf81a52ea7456c09"/>
                    <pic:cNvPicPr>
                      <a:picLocks noChangeAspect="1"/>
                    </pic:cNvPicPr>
                  </pic:nvPicPr>
                  <pic:blipFill>
                    <a:blip r:embed="rId7"/>
                    <a:stretch>
                      <a:fillRect/>
                    </a:stretch>
                  </pic:blipFill>
                  <pic:spPr>
                    <a:xfrm>
                      <a:off x="0" y="0"/>
                      <a:ext cx="5285105" cy="8027035"/>
                    </a:xfrm>
                    <a:prstGeom prst="rect">
                      <a:avLst/>
                    </a:prstGeom>
                  </pic:spPr>
                </pic:pic>
              </a:graphicData>
            </a:graphic>
          </wp:inline>
        </w:drawing>
      </w:r>
      <w:r>
        <w:rPr>
          <w:rFonts w:hint="eastAsia" w:ascii="Times New Roman"/>
          <w:b/>
          <w:color w:val="000000" w:themeColor="text1"/>
          <w:kern w:val="2"/>
          <w14:textFill>
            <w14:solidFill>
              <w14:schemeClr w14:val="tx1"/>
            </w14:solidFill>
          </w14:textFill>
        </w:rPr>
        <w:t>图</w:t>
      </w:r>
      <w:r>
        <w:rPr>
          <w:rFonts w:hint="eastAsia" w:ascii="Times New Roman"/>
          <w:b/>
          <w:color w:val="000000" w:themeColor="text1"/>
          <w:kern w:val="2"/>
          <w:lang w:val="en-US" w:eastAsia="zh-CN"/>
          <w14:textFill>
            <w14:solidFill>
              <w14:schemeClr w14:val="tx1"/>
            </w14:solidFill>
          </w14:textFill>
        </w:rPr>
        <w:t>4</w:t>
      </w:r>
      <w:r>
        <w:rPr>
          <w:rFonts w:hint="eastAsia" w:ascii="Times New Roman"/>
          <w:b/>
          <w:color w:val="000000" w:themeColor="text1"/>
          <w:kern w:val="2"/>
          <w14:textFill>
            <w14:solidFill>
              <w14:schemeClr w14:val="tx1"/>
            </w14:solidFill>
          </w14:textFill>
        </w:rPr>
        <w:t xml:space="preserve">   第二次</w:t>
      </w:r>
      <w:r>
        <w:rPr>
          <w:rFonts w:hint="eastAsia" w:ascii="Times New Roman"/>
          <w:b/>
          <w:color w:val="000000" w:themeColor="text1"/>
          <w:kern w:val="2"/>
          <w:lang w:eastAsia="zh-CN"/>
          <w14:textFill>
            <w14:solidFill>
              <w14:schemeClr w14:val="tx1"/>
            </w14:solidFill>
          </w14:textFill>
        </w:rPr>
        <w:t>网络</w:t>
      </w:r>
      <w:r>
        <w:rPr>
          <w:rFonts w:hint="eastAsia" w:ascii="Times New Roman"/>
          <w:b/>
          <w:color w:val="000000" w:themeColor="text1"/>
          <w:kern w:val="2"/>
          <w14:textFill>
            <w14:solidFill>
              <w14:schemeClr w14:val="tx1"/>
            </w14:solidFill>
          </w14:textFill>
        </w:rPr>
        <w:t>公示截图</w:t>
      </w:r>
    </w:p>
    <w:p>
      <w:pPr>
        <w:spacing w:before="156" w:beforeLines="50" w:line="360" w:lineRule="auto"/>
        <w:ind w:firstLine="480" w:firstLineChars="200"/>
        <w:rPr>
          <w:rFonts w:ascii="Times New Roman"/>
          <w:bCs/>
          <w:color w:val="000000" w:themeColor="text1"/>
          <w:kern w:val="2"/>
          <w14:textFill>
            <w14:solidFill>
              <w14:schemeClr w14:val="tx1"/>
            </w14:solidFill>
          </w14:textFill>
        </w:rPr>
      </w:pPr>
      <w:r>
        <w:rPr>
          <w:rFonts w:hint="eastAsia" w:ascii="Times New Roman"/>
          <w:bCs/>
          <w:color w:val="000000" w:themeColor="text1"/>
          <w:kern w:val="2"/>
          <w14:textFill>
            <w14:solidFill>
              <w14:schemeClr w14:val="tx1"/>
            </w14:solidFill>
          </w14:textFill>
        </w:rPr>
        <w:t>（3）现场</w:t>
      </w:r>
      <w:r>
        <w:rPr>
          <w:rFonts w:ascii="Times New Roman"/>
          <w:bCs/>
          <w:color w:val="000000" w:themeColor="text1"/>
          <w:kern w:val="2"/>
          <w14:textFill>
            <w14:solidFill>
              <w14:schemeClr w14:val="tx1"/>
            </w14:solidFill>
          </w14:textFill>
        </w:rPr>
        <w:t>张贴</w:t>
      </w:r>
    </w:p>
    <w:p>
      <w:pPr>
        <w:spacing w:line="360" w:lineRule="auto"/>
        <w:ind w:firstLine="480" w:firstLineChars="200"/>
        <w:rPr>
          <w:rFonts w:ascii="Times New Roman"/>
          <w:bCs/>
          <w:kern w:val="2"/>
        </w:rPr>
      </w:pPr>
      <w:r>
        <w:rPr>
          <w:rFonts w:ascii="Times New Roman"/>
          <w:bCs/>
          <w:kern w:val="2"/>
        </w:rPr>
        <w:t>1）载体选取的符合性分析</w:t>
      </w:r>
    </w:p>
    <w:p>
      <w:pPr>
        <w:spacing w:line="360" w:lineRule="auto"/>
        <w:ind w:firstLine="480" w:firstLineChars="200"/>
        <w:rPr>
          <w:rFonts w:ascii="Times New Roman"/>
          <w:bCs/>
          <w:kern w:val="2"/>
        </w:rPr>
      </w:pPr>
      <w:r>
        <w:rPr>
          <w:rFonts w:ascii="Times New Roman"/>
          <w:bCs/>
          <w:kern w:val="2"/>
        </w:rPr>
        <w:t>根据《</w:t>
      </w:r>
      <w:r>
        <w:rPr>
          <w:rFonts w:hint="eastAsia" w:ascii="Times New Roman"/>
          <w:bCs/>
          <w:kern w:val="2"/>
        </w:rPr>
        <w:t>建设项目环境影响评价公众参与办法</w:t>
      </w:r>
      <w:r>
        <w:rPr>
          <w:rFonts w:ascii="Times New Roman"/>
          <w:bCs/>
          <w:kern w:val="2"/>
        </w:rPr>
        <w:t>》第十一条</w:t>
      </w:r>
      <w:r>
        <w:rPr>
          <w:rFonts w:hint="eastAsia" w:ascii="Times New Roman"/>
          <w:bCs/>
          <w:kern w:val="2"/>
        </w:rPr>
        <w:t xml:space="preserve"> </w:t>
      </w:r>
      <w:r>
        <w:rPr>
          <w:rFonts w:ascii="Times New Roman"/>
          <w:bCs/>
          <w:kern w:val="2"/>
        </w:rPr>
        <w:t>依照本办法第十条规定应当公开的信息，建设单位应当通过下列三种方式同步公开：</w:t>
      </w:r>
    </w:p>
    <w:p>
      <w:pPr>
        <w:spacing w:line="360" w:lineRule="auto"/>
        <w:ind w:firstLine="480" w:firstLineChars="200"/>
        <w:rPr>
          <w:rFonts w:ascii="Times New Roman"/>
          <w:bCs/>
          <w:kern w:val="2"/>
        </w:rPr>
      </w:pPr>
      <w:r>
        <w:rPr>
          <w:rFonts w:ascii="Times New Roman"/>
          <w:bCs/>
          <w:kern w:val="2"/>
        </w:rPr>
        <w:t>①通过网络平台公开，且持续公开期限不得少于10个工作日；</w:t>
      </w:r>
    </w:p>
    <w:p>
      <w:pPr>
        <w:spacing w:line="360" w:lineRule="auto"/>
        <w:ind w:firstLine="480" w:firstLineChars="200"/>
        <w:rPr>
          <w:rFonts w:ascii="Times New Roman"/>
          <w:bCs/>
          <w:kern w:val="2"/>
        </w:rPr>
      </w:pPr>
      <w:r>
        <w:rPr>
          <w:rFonts w:ascii="Times New Roman"/>
          <w:bCs/>
          <w:kern w:val="2"/>
        </w:rPr>
        <w:t>②通过建设项目所在地公众易于接触的报纸公开，且在征求意见的10个工作日内公开信息不得少于2次；</w:t>
      </w:r>
    </w:p>
    <w:p>
      <w:pPr>
        <w:spacing w:line="360" w:lineRule="auto"/>
        <w:ind w:firstLine="480" w:firstLineChars="200"/>
        <w:rPr>
          <w:rFonts w:ascii="Times New Roman"/>
          <w:bCs/>
          <w:kern w:val="2"/>
        </w:rPr>
      </w:pPr>
      <w:r>
        <w:rPr>
          <w:rFonts w:ascii="Times New Roman"/>
          <w:bCs/>
          <w:kern w:val="2"/>
        </w:rPr>
        <w:t>③通过在建设项目所在地公众易于知悉的场所张贴公告的方式公开，且持续公开期限不得少于10个工作日。</w:t>
      </w:r>
    </w:p>
    <w:p>
      <w:pPr>
        <w:spacing w:line="360" w:lineRule="auto"/>
        <w:ind w:firstLine="480" w:firstLineChars="200"/>
        <w:rPr>
          <w:rFonts w:ascii="Times New Roman"/>
          <w:bCs/>
        </w:rPr>
      </w:pPr>
      <w:r>
        <w:rPr>
          <w:rFonts w:hint="eastAsia" w:ascii="Times New Roman"/>
          <w:bCs/>
        </w:rPr>
        <w:t>甘肃湛昌矿业有限责任公司</w:t>
      </w:r>
      <w:r>
        <w:rPr>
          <w:rFonts w:ascii="Times New Roman"/>
          <w:bCs/>
          <w:kern w:val="2"/>
        </w:rPr>
        <w:t>在</w:t>
      </w:r>
      <w:r>
        <w:rPr>
          <w:rFonts w:hint="eastAsia" w:ascii="Times New Roman"/>
          <w:bCs/>
          <w:kern w:val="2"/>
          <w:lang w:eastAsia="zh-CN"/>
        </w:rPr>
        <w:t>项目</w:t>
      </w:r>
      <w:r>
        <w:rPr>
          <w:rFonts w:hint="eastAsia" w:ascii="Times New Roman"/>
          <w:bCs/>
          <w:kern w:val="2"/>
        </w:rPr>
        <w:t>评价</w:t>
      </w:r>
      <w:r>
        <w:rPr>
          <w:rFonts w:ascii="Times New Roman"/>
          <w:bCs/>
          <w:kern w:val="2"/>
        </w:rPr>
        <w:t>范围内进行了张贴公示。本次张贴公</w:t>
      </w:r>
      <w:r>
        <w:rPr>
          <w:rFonts w:hint="eastAsia" w:ascii="Times New Roman"/>
          <w:bCs/>
          <w:kern w:val="2"/>
        </w:rPr>
        <w:t>告</w:t>
      </w:r>
      <w:r>
        <w:rPr>
          <w:rFonts w:ascii="Times New Roman"/>
          <w:bCs/>
          <w:kern w:val="2"/>
        </w:rPr>
        <w:t>深入</w:t>
      </w:r>
      <w:r>
        <w:rPr>
          <w:rFonts w:hint="eastAsia" w:ascii="Times New Roman"/>
          <w:bCs/>
          <w:kern w:val="2"/>
        </w:rPr>
        <w:t>评价范围内公众较多区域</w:t>
      </w:r>
      <w:r>
        <w:rPr>
          <w:rFonts w:ascii="Times New Roman"/>
          <w:bCs/>
          <w:kern w:val="2"/>
        </w:rPr>
        <w:t>，对本项目境影响报告书征求意见稿全文的网络链接及查阅纸质报告书的方式和途径</w:t>
      </w:r>
      <w:r>
        <w:rPr>
          <w:rFonts w:hint="eastAsia" w:ascii="Times New Roman"/>
          <w:bCs/>
          <w:kern w:val="2"/>
        </w:rPr>
        <w:t>、</w:t>
      </w:r>
      <w:r>
        <w:rPr>
          <w:rFonts w:ascii="Times New Roman"/>
          <w:bCs/>
          <w:kern w:val="2"/>
        </w:rPr>
        <w:t>征求意见的公众范围</w:t>
      </w:r>
      <w:r>
        <w:rPr>
          <w:rFonts w:hint="eastAsia" w:ascii="Times New Roman"/>
          <w:bCs/>
          <w:kern w:val="2"/>
        </w:rPr>
        <w:t>、</w:t>
      </w:r>
      <w:r>
        <w:rPr>
          <w:rFonts w:ascii="Times New Roman"/>
          <w:bCs/>
          <w:kern w:val="2"/>
        </w:rPr>
        <w:t>公众意见表的网络链接</w:t>
      </w:r>
      <w:r>
        <w:rPr>
          <w:rFonts w:hint="eastAsia" w:ascii="Times New Roman"/>
          <w:bCs/>
          <w:kern w:val="2"/>
        </w:rPr>
        <w:t>、</w:t>
      </w:r>
      <w:r>
        <w:rPr>
          <w:rFonts w:ascii="Times New Roman"/>
          <w:bCs/>
          <w:kern w:val="2"/>
        </w:rPr>
        <w:t>公众提出意见的方式和途径</w:t>
      </w:r>
      <w:r>
        <w:rPr>
          <w:rFonts w:hint="eastAsia" w:ascii="Times New Roman"/>
          <w:bCs/>
          <w:kern w:val="2"/>
        </w:rPr>
        <w:t>、</w:t>
      </w:r>
      <w:r>
        <w:rPr>
          <w:rFonts w:ascii="Times New Roman"/>
          <w:bCs/>
          <w:kern w:val="2"/>
        </w:rPr>
        <w:t>公众提出意见的起止时间等进行了公示，将项目建设信息进一步传播到公众容易接触到的地方，广泛征求公众意见和建议。充分显示信息公开的广泛性、全面性。</w:t>
      </w:r>
    </w:p>
    <w:p>
      <w:pPr>
        <w:spacing w:line="360" w:lineRule="auto"/>
        <w:ind w:firstLine="480" w:firstLineChars="200"/>
        <w:rPr>
          <w:rFonts w:ascii="Times New Roman"/>
          <w:bCs/>
          <w:kern w:val="2"/>
        </w:rPr>
      </w:pPr>
      <w:r>
        <w:rPr>
          <w:rFonts w:ascii="Times New Roman"/>
          <w:bCs/>
          <w:kern w:val="2"/>
        </w:rPr>
        <w:t>因此，</w:t>
      </w:r>
      <w:r>
        <w:rPr>
          <w:bCs/>
        </w:rPr>
        <w:t>因此，选取</w:t>
      </w:r>
      <w:r>
        <w:rPr>
          <w:rFonts w:hint="eastAsia" w:ascii="Times New Roman"/>
          <w:bCs/>
          <w:kern w:val="2"/>
        </w:rPr>
        <w:t>项目周边评价范围内</w:t>
      </w:r>
      <w:bookmarkStart w:id="7" w:name="_GoBack"/>
      <w:r>
        <w:rPr>
          <w:rFonts w:hint="eastAsia" w:ascii="Times New Roman"/>
          <w:bCs/>
          <w:kern w:val="2"/>
          <w:lang w:val="en-US" w:eastAsia="zh-CN"/>
        </w:rPr>
        <w:t>昌马</w:t>
      </w:r>
      <w:bookmarkEnd w:id="7"/>
      <w:r>
        <w:rPr>
          <w:rFonts w:hint="eastAsia" w:ascii="Times New Roman"/>
          <w:bCs/>
          <w:kern w:val="2"/>
          <w:lang w:eastAsia="zh-CN"/>
        </w:rPr>
        <w:t>镇</w:t>
      </w:r>
      <w:r>
        <w:rPr>
          <w:bCs/>
        </w:rPr>
        <w:t>作为载体进行张贴公示</w:t>
      </w:r>
      <w:r>
        <w:rPr>
          <w:rFonts w:ascii="Times New Roman"/>
          <w:bCs/>
          <w:kern w:val="2"/>
        </w:rPr>
        <w:t>，是符合《</w:t>
      </w:r>
      <w:r>
        <w:rPr>
          <w:rFonts w:hint="eastAsia" w:ascii="Times New Roman"/>
          <w:bCs/>
          <w:kern w:val="2"/>
        </w:rPr>
        <w:t>建设项目环境影响评价公众参与办法</w:t>
      </w:r>
      <w:r>
        <w:rPr>
          <w:rFonts w:ascii="Times New Roman"/>
          <w:bCs/>
          <w:kern w:val="2"/>
        </w:rPr>
        <w:t>》要求的。</w:t>
      </w:r>
    </w:p>
    <w:p>
      <w:pPr>
        <w:spacing w:line="360" w:lineRule="auto"/>
        <w:ind w:left="480" w:leftChars="200"/>
        <w:rPr>
          <w:rFonts w:ascii="Times New Roman"/>
          <w:bCs/>
          <w:kern w:val="2"/>
        </w:rPr>
      </w:pPr>
      <w:r>
        <w:rPr>
          <w:rFonts w:hint="eastAsia" w:ascii="Times New Roman"/>
          <w:bCs/>
          <w:kern w:val="2"/>
        </w:rPr>
        <w:t>现场张贴</w:t>
      </w:r>
      <w:r>
        <w:rPr>
          <w:rFonts w:ascii="Times New Roman"/>
          <w:bCs/>
          <w:kern w:val="2"/>
        </w:rPr>
        <w:t>公示</w:t>
      </w:r>
      <w:r>
        <w:rPr>
          <w:rFonts w:hint="eastAsia" w:ascii="Times New Roman"/>
          <w:bCs/>
          <w:kern w:val="2"/>
        </w:rPr>
        <w:t>情况见图</w:t>
      </w:r>
      <w:r>
        <w:rPr>
          <w:rFonts w:hint="eastAsia" w:ascii="Times New Roman"/>
          <w:bCs/>
          <w:kern w:val="2"/>
          <w:lang w:val="en-US" w:eastAsia="zh-CN"/>
        </w:rPr>
        <w:t>5</w:t>
      </w:r>
      <w:r>
        <w:rPr>
          <w:rFonts w:hint="eastAsia" w:ascii="Times New Roman"/>
          <w:bCs/>
          <w:kern w:val="2"/>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5"/>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5" w:type="dxa"/>
          </w:tcPr>
          <w:p>
            <w:pPr>
              <w:spacing w:line="360" w:lineRule="auto"/>
              <w:jc w:val="center"/>
              <w:rPr>
                <w:rFonts w:hint="eastAsia" w:ascii="Times New Roman" w:eastAsia="宋体"/>
                <w:bCs/>
                <w:kern w:val="2"/>
                <w:lang w:eastAsia="zh-CN"/>
              </w:rPr>
            </w:pPr>
            <w:r>
              <w:rPr>
                <w:rFonts w:hint="eastAsia" w:ascii="Times New Roman" w:eastAsia="宋体"/>
                <w:bCs/>
                <w:kern w:val="2"/>
                <w:lang w:eastAsia="zh-CN"/>
              </w:rPr>
              <w:drawing>
                <wp:inline distT="0" distB="0" distL="114300" distR="114300">
                  <wp:extent cx="2574925" cy="1931035"/>
                  <wp:effectExtent l="0" t="0" r="15875" b="12065"/>
                  <wp:docPr id="10" name="图片 10" descr="IMG_20210124_13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10124_132538"/>
                          <pic:cNvPicPr>
                            <a:picLocks noChangeAspect="1"/>
                          </pic:cNvPicPr>
                        </pic:nvPicPr>
                        <pic:blipFill>
                          <a:blip r:embed="rId8"/>
                          <a:stretch>
                            <a:fillRect/>
                          </a:stretch>
                        </pic:blipFill>
                        <pic:spPr>
                          <a:xfrm>
                            <a:off x="0" y="0"/>
                            <a:ext cx="2574925" cy="1931035"/>
                          </a:xfrm>
                          <a:prstGeom prst="rect">
                            <a:avLst/>
                          </a:prstGeom>
                        </pic:spPr>
                      </pic:pic>
                    </a:graphicData>
                  </a:graphic>
                </wp:inline>
              </w:drawing>
            </w:r>
          </w:p>
        </w:tc>
        <w:tc>
          <w:tcPr>
            <w:tcW w:w="4247" w:type="dxa"/>
          </w:tcPr>
          <w:p>
            <w:pPr>
              <w:spacing w:line="360" w:lineRule="auto"/>
              <w:rPr>
                <w:rFonts w:hint="eastAsia" w:ascii="Times New Roman" w:eastAsia="宋体"/>
                <w:bCs/>
                <w:kern w:val="2"/>
                <w:lang w:eastAsia="zh-CN"/>
              </w:rPr>
            </w:pPr>
            <w:r>
              <w:rPr>
                <w:rFonts w:hint="eastAsia" w:ascii="Times New Roman" w:eastAsia="宋体"/>
                <w:bCs/>
                <w:kern w:val="2"/>
                <w:lang w:eastAsia="zh-CN"/>
              </w:rPr>
              <w:drawing>
                <wp:inline distT="0" distB="0" distL="114300" distR="114300">
                  <wp:extent cx="2528570" cy="1896745"/>
                  <wp:effectExtent l="0" t="0" r="5080" b="8255"/>
                  <wp:docPr id="11" name="图片 11" descr="IMG_20210124_13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0124_133556"/>
                          <pic:cNvPicPr>
                            <a:picLocks noChangeAspect="1"/>
                          </pic:cNvPicPr>
                        </pic:nvPicPr>
                        <pic:blipFill>
                          <a:blip r:embed="rId9"/>
                          <a:stretch>
                            <a:fillRect/>
                          </a:stretch>
                        </pic:blipFill>
                        <pic:spPr>
                          <a:xfrm>
                            <a:off x="0" y="0"/>
                            <a:ext cx="2528570" cy="18967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62" w:type="dxa"/>
            <w:gridSpan w:val="2"/>
          </w:tcPr>
          <w:p>
            <w:pPr>
              <w:spacing w:line="360" w:lineRule="auto"/>
              <w:jc w:val="center"/>
              <w:rPr>
                <w:rFonts w:ascii="Times New Roman"/>
                <w:b/>
                <w:color w:val="FF0000"/>
                <w:kern w:val="2"/>
              </w:rPr>
            </w:pPr>
            <w:r>
              <w:rPr>
                <w:rFonts w:hint="eastAsia" w:ascii="Times New Roman"/>
                <w:b/>
                <w:color w:val="000000" w:themeColor="text1"/>
                <w:kern w:val="2"/>
                <w14:textFill>
                  <w14:solidFill>
                    <w14:schemeClr w14:val="tx1"/>
                  </w14:solidFill>
                </w14:textFill>
              </w:rPr>
              <w:t>图</w:t>
            </w:r>
            <w:r>
              <w:rPr>
                <w:rFonts w:hint="eastAsia" w:ascii="Times New Roman"/>
                <w:b/>
                <w:color w:val="000000" w:themeColor="text1"/>
                <w:kern w:val="2"/>
                <w:lang w:val="en-US" w:eastAsia="zh-CN"/>
                <w14:textFill>
                  <w14:solidFill>
                    <w14:schemeClr w14:val="tx1"/>
                  </w14:solidFill>
                </w14:textFill>
              </w:rPr>
              <w:t>5</w:t>
            </w:r>
            <w:r>
              <w:rPr>
                <w:rFonts w:ascii="Times New Roman"/>
                <w:b/>
                <w:color w:val="000000" w:themeColor="text1"/>
                <w:kern w:val="2"/>
                <w14:textFill>
                  <w14:solidFill>
                    <w14:schemeClr w14:val="tx1"/>
                  </w14:solidFill>
                </w14:textFill>
              </w:rPr>
              <w:t xml:space="preserve"> </w:t>
            </w:r>
            <w:r>
              <w:rPr>
                <w:rFonts w:hint="eastAsia" w:ascii="Times New Roman"/>
                <w:b/>
                <w:color w:val="000000" w:themeColor="text1"/>
                <w:kern w:val="2"/>
                <w14:textFill>
                  <w14:solidFill>
                    <w14:schemeClr w14:val="tx1"/>
                  </w14:solidFill>
                </w14:textFill>
              </w:rPr>
              <w:t>现场张贴</w:t>
            </w:r>
            <w:r>
              <w:rPr>
                <w:rFonts w:ascii="Times New Roman"/>
                <w:b/>
                <w:color w:val="000000" w:themeColor="text1"/>
                <w:kern w:val="2"/>
                <w14:textFill>
                  <w14:solidFill>
                    <w14:schemeClr w14:val="tx1"/>
                  </w14:solidFill>
                </w14:textFill>
              </w:rPr>
              <w:t>公示</w:t>
            </w:r>
            <w:r>
              <w:rPr>
                <w:rFonts w:hint="eastAsia" w:ascii="Times New Roman"/>
                <w:b/>
                <w:color w:val="000000" w:themeColor="text1"/>
                <w:kern w:val="2"/>
                <w14:textFill>
                  <w14:solidFill>
                    <w14:schemeClr w14:val="tx1"/>
                  </w14:solidFill>
                </w14:textFill>
              </w:rPr>
              <w:t>情况</w:t>
            </w:r>
          </w:p>
        </w:tc>
      </w:tr>
    </w:tbl>
    <w:p>
      <w:pPr>
        <w:spacing w:line="360" w:lineRule="auto"/>
        <w:rPr>
          <w:rFonts w:ascii="Times New Roman"/>
          <w:bCs/>
          <w:kern w:val="2"/>
        </w:rPr>
      </w:pPr>
      <w:r>
        <w:rPr>
          <w:rFonts w:hint="eastAsia" w:ascii="Times New Roman"/>
          <w:b/>
          <w:kern w:val="2"/>
        </w:rPr>
        <w:t>3</w:t>
      </w:r>
      <w:r>
        <w:rPr>
          <w:rFonts w:ascii="Times New Roman" w:eastAsiaTheme="majorEastAsia"/>
          <w:b/>
          <w:kern w:val="2"/>
        </w:rPr>
        <w:t>.3查阅情况及公众参与情况</w:t>
      </w:r>
    </w:p>
    <w:p>
      <w:pPr>
        <w:spacing w:line="360" w:lineRule="auto"/>
        <w:ind w:firstLine="480" w:firstLineChars="200"/>
        <w:rPr>
          <w:rFonts w:ascii="Times New Roman"/>
          <w:bCs/>
          <w:kern w:val="2"/>
        </w:rPr>
      </w:pPr>
      <w:r>
        <w:rPr>
          <w:rFonts w:hint="eastAsia" w:ascii="Times New Roman"/>
          <w:bCs/>
          <w:kern w:val="2"/>
        </w:rPr>
        <w:t>项目区</w:t>
      </w:r>
      <w:r>
        <w:rPr>
          <w:rFonts w:ascii="Times New Roman"/>
          <w:bCs/>
          <w:kern w:val="2"/>
        </w:rPr>
        <w:t>公众可通过报纸阅览或登录</w:t>
      </w:r>
      <w:r>
        <w:rPr>
          <w:rFonts w:hint="eastAsia" w:ascii="Times New Roman"/>
          <w:bCs/>
          <w:kern w:val="2"/>
          <w:lang w:val="en-US" w:eastAsia="zh-CN"/>
        </w:rPr>
        <w:t>西部（</w:t>
      </w:r>
      <w:r>
        <w:rPr>
          <w:rFonts w:hint="default" w:ascii="Times New Roman"/>
          <w:bCs/>
          <w:kern w:val="2"/>
        </w:rPr>
        <w:t>甘肃</w:t>
      </w:r>
      <w:r>
        <w:rPr>
          <w:rFonts w:hint="eastAsia" w:ascii="Times New Roman"/>
          <w:bCs/>
          <w:kern w:val="2"/>
          <w:lang w:val="en-US" w:eastAsia="zh-CN"/>
        </w:rPr>
        <w:t>）生态环境工程</w:t>
      </w:r>
      <w:r>
        <w:rPr>
          <w:rFonts w:hint="default" w:ascii="Times New Roman"/>
          <w:bCs/>
          <w:kern w:val="2"/>
        </w:rPr>
        <w:t>有限公司</w:t>
      </w:r>
      <w:r>
        <w:rPr>
          <w:rFonts w:ascii="Times New Roman"/>
          <w:bCs/>
          <w:kern w:val="2"/>
        </w:rPr>
        <w:t>网站网站进行查阅</w:t>
      </w:r>
      <w:r>
        <w:rPr>
          <w:rFonts w:hint="eastAsia" w:ascii="Times New Roman"/>
          <w:bCs/>
          <w:kern w:val="2"/>
        </w:rPr>
        <w:t>、</w:t>
      </w:r>
      <w:r>
        <w:rPr>
          <w:rFonts w:ascii="Times New Roman"/>
          <w:bCs/>
          <w:kern w:val="2"/>
        </w:rPr>
        <w:t>填写调查表进行意见反馈，公示期间未收到与本项目环境影响及环境保护措施有关的意见和建议。</w:t>
      </w:r>
    </w:p>
    <w:p>
      <w:pPr>
        <w:spacing w:line="360" w:lineRule="auto"/>
        <w:jc w:val="left"/>
        <w:outlineLvl w:val="1"/>
        <w:rPr>
          <w:rFonts w:ascii="Times New Roman" w:eastAsiaTheme="majorEastAsia"/>
          <w:b/>
          <w:kern w:val="2"/>
        </w:rPr>
      </w:pPr>
      <w:r>
        <w:rPr>
          <w:rFonts w:ascii="Times New Roman" w:eastAsiaTheme="majorEastAsia"/>
          <w:b/>
          <w:kern w:val="2"/>
        </w:rPr>
        <w:t>3.4公众提出意见情况</w:t>
      </w:r>
    </w:p>
    <w:p>
      <w:pPr>
        <w:spacing w:line="360" w:lineRule="auto"/>
        <w:ind w:firstLine="480" w:firstLineChars="200"/>
        <w:rPr>
          <w:rFonts w:ascii="Times New Roman"/>
          <w:bCs/>
          <w:kern w:val="2"/>
        </w:rPr>
      </w:pPr>
      <w:r>
        <w:rPr>
          <w:rFonts w:ascii="Times New Roman"/>
          <w:bCs/>
          <w:kern w:val="2"/>
        </w:rPr>
        <w:t>公示期间未收到公众反馈意见。</w:t>
      </w:r>
    </w:p>
    <w:p>
      <w:pPr>
        <w:spacing w:line="360" w:lineRule="auto"/>
        <w:jc w:val="left"/>
        <w:outlineLvl w:val="0"/>
        <w:rPr>
          <w:rFonts w:ascii="Times New Roman" w:eastAsiaTheme="majorEastAsia"/>
          <w:b/>
          <w:kern w:val="2"/>
          <w:sz w:val="28"/>
          <w:szCs w:val="28"/>
        </w:rPr>
      </w:pPr>
      <w:r>
        <w:rPr>
          <w:rFonts w:hint="eastAsia" w:ascii="Times New Roman" w:eastAsiaTheme="majorEastAsia"/>
          <w:b/>
          <w:kern w:val="2"/>
          <w:sz w:val="28"/>
          <w:szCs w:val="28"/>
          <w:lang w:val="en-US" w:eastAsia="zh-CN"/>
        </w:rPr>
        <w:t>4</w:t>
      </w:r>
      <w:r>
        <w:rPr>
          <w:rFonts w:hint="eastAsia" w:ascii="Times New Roman" w:eastAsiaTheme="majorEastAsia"/>
          <w:b/>
          <w:kern w:val="2"/>
          <w:sz w:val="28"/>
          <w:szCs w:val="28"/>
        </w:rPr>
        <w:t>、其他公众参与情况</w:t>
      </w:r>
    </w:p>
    <w:p>
      <w:pPr>
        <w:spacing w:line="360" w:lineRule="auto"/>
        <w:ind w:firstLine="480" w:firstLineChars="200"/>
        <w:rPr>
          <w:rFonts w:ascii="Times New Roman"/>
          <w:bCs/>
          <w:kern w:val="2"/>
        </w:rPr>
      </w:pPr>
      <w:r>
        <w:rPr>
          <w:rFonts w:hint="eastAsia" w:ascii="Times New Roman"/>
          <w:bCs/>
          <w:kern w:val="2"/>
        </w:rPr>
        <w:t>无。</w:t>
      </w:r>
    </w:p>
    <w:p>
      <w:pPr>
        <w:spacing w:line="360" w:lineRule="auto"/>
        <w:jc w:val="left"/>
        <w:outlineLvl w:val="0"/>
        <w:rPr>
          <w:rFonts w:ascii="Times New Roman" w:eastAsiaTheme="majorEastAsia"/>
          <w:b/>
          <w:kern w:val="2"/>
          <w:sz w:val="28"/>
          <w:szCs w:val="28"/>
        </w:rPr>
      </w:pPr>
      <w:r>
        <w:rPr>
          <w:rFonts w:hint="eastAsia" w:ascii="Times New Roman" w:eastAsiaTheme="majorEastAsia"/>
          <w:b/>
          <w:kern w:val="2"/>
          <w:sz w:val="28"/>
          <w:szCs w:val="28"/>
          <w:lang w:val="en-US" w:eastAsia="zh-CN"/>
        </w:rPr>
        <w:t>5</w:t>
      </w:r>
      <w:r>
        <w:rPr>
          <w:rFonts w:hint="eastAsia" w:ascii="Times New Roman" w:eastAsiaTheme="majorEastAsia"/>
          <w:b/>
          <w:kern w:val="2"/>
          <w:sz w:val="28"/>
          <w:szCs w:val="28"/>
        </w:rPr>
        <w:t>、公众意见处理情况</w:t>
      </w:r>
    </w:p>
    <w:p>
      <w:pPr>
        <w:spacing w:line="360" w:lineRule="auto"/>
        <w:jc w:val="left"/>
        <w:outlineLvl w:val="1"/>
        <w:rPr>
          <w:rFonts w:ascii="Times New Roman" w:eastAsiaTheme="majorEastAsia"/>
          <w:b/>
          <w:kern w:val="2"/>
        </w:rPr>
      </w:pPr>
      <w:r>
        <w:rPr>
          <w:rFonts w:hint="eastAsia" w:ascii="Times New Roman" w:eastAsiaTheme="majorEastAsia"/>
          <w:b/>
          <w:kern w:val="2"/>
          <w:lang w:val="en-US" w:eastAsia="zh-CN"/>
        </w:rPr>
        <w:t>5</w:t>
      </w:r>
      <w:r>
        <w:rPr>
          <w:rFonts w:hint="eastAsia" w:ascii="Times New Roman" w:eastAsiaTheme="majorEastAsia"/>
          <w:b/>
          <w:kern w:val="2"/>
        </w:rPr>
        <w:t>.1公众意见概述和分析</w:t>
      </w:r>
    </w:p>
    <w:p>
      <w:pPr>
        <w:spacing w:line="360" w:lineRule="auto"/>
        <w:ind w:firstLine="480" w:firstLineChars="200"/>
        <w:rPr>
          <w:rFonts w:ascii="Times New Roman"/>
          <w:bCs/>
          <w:kern w:val="2"/>
        </w:rPr>
      </w:pPr>
      <w:r>
        <w:rPr>
          <w:rFonts w:hint="eastAsia" w:ascii="Times New Roman"/>
          <w:bCs/>
          <w:kern w:val="2"/>
        </w:rPr>
        <w:t>本次环境影响评价公示期间，未收到电话、电子邮件、留言、信件等各类方式的意见和建议反馈，亦未收到反馈回的公众意见表。</w:t>
      </w:r>
    </w:p>
    <w:p>
      <w:pPr>
        <w:spacing w:line="360" w:lineRule="auto"/>
        <w:ind w:firstLine="480" w:firstLineChars="200"/>
        <w:rPr>
          <w:rFonts w:ascii="Times New Roman"/>
          <w:bCs/>
          <w:kern w:val="2"/>
        </w:rPr>
      </w:pPr>
      <w:r>
        <w:rPr>
          <w:rFonts w:hint="eastAsia" w:ascii="Times New Roman"/>
          <w:bCs/>
          <w:kern w:val="2"/>
        </w:rPr>
        <w:t>按照《建设项目环境影响评价公众参与办法》要求，在征求意见稿公示期间，发布了公众意见表的下载连接和反馈方式。公众意见调查表见表</w:t>
      </w:r>
      <w:r>
        <w:rPr>
          <w:rFonts w:ascii="Times New Roman"/>
          <w:bCs/>
          <w:kern w:val="2"/>
        </w:rPr>
        <w:t>2</w:t>
      </w:r>
      <w:r>
        <w:rPr>
          <w:rFonts w:hint="eastAsia" w:ascii="Times New Roman"/>
          <w:bCs/>
          <w:kern w:val="2"/>
        </w:rPr>
        <w:t>。</w:t>
      </w:r>
    </w:p>
    <w:p>
      <w:pPr>
        <w:keepNext w:val="0"/>
        <w:keepLines w:val="0"/>
        <w:pageBreakBefore w:val="0"/>
        <w:widowControl w:val="0"/>
        <w:kinsoku/>
        <w:wordWrap/>
        <w:overflowPunct/>
        <w:topLinePunct w:val="0"/>
        <w:autoSpaceDE/>
        <w:autoSpaceDN/>
        <w:bidi w:val="0"/>
        <w:adjustRightInd/>
        <w:snapToGrid/>
        <w:spacing w:before="313" w:beforeLines="100"/>
        <w:ind w:firstLine="482"/>
        <w:jc w:val="center"/>
        <w:textAlignment w:val="auto"/>
        <w:rPr>
          <w:rFonts w:ascii="Times New Roman"/>
          <w:bCs/>
        </w:rPr>
      </w:pPr>
      <w:r>
        <w:rPr>
          <w:rFonts w:ascii="Times New Roman"/>
          <w:b/>
        </w:rPr>
        <w:t>表2  建设项目</w:t>
      </w:r>
      <w:r>
        <w:rPr>
          <w:rFonts w:hint="eastAsia" w:ascii="Times New Roman"/>
          <w:b/>
        </w:rPr>
        <w:t>环境影响评价</w:t>
      </w:r>
      <w:r>
        <w:rPr>
          <w:rFonts w:ascii="Times New Roman"/>
          <w:b/>
        </w:rPr>
        <w:t>公众意见表</w:t>
      </w:r>
    </w:p>
    <w:p>
      <w:pPr>
        <w:adjustRightInd w:val="0"/>
        <w:snapToGrid w:val="0"/>
        <w:spacing w:before="156" w:beforeLines="50"/>
        <w:rPr>
          <w:rFonts w:eastAsia="黑体"/>
          <w:b/>
          <w:sz w:val="21"/>
          <w:szCs w:val="21"/>
        </w:rPr>
      </w:pPr>
      <w:r>
        <w:rPr>
          <w:b/>
          <w:sz w:val="21"/>
          <w:szCs w:val="21"/>
        </w:rPr>
        <w:t xml:space="preserve">填表日期 </w:t>
      </w:r>
      <w:r>
        <w:rPr>
          <w:b/>
          <w:sz w:val="21"/>
          <w:szCs w:val="21"/>
          <w:u w:val="single"/>
        </w:rPr>
        <w:t xml:space="preserve">      年   月   日</w:t>
      </w:r>
    </w:p>
    <w:tbl>
      <w:tblPr>
        <w:tblStyle w:val="15"/>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1944"/>
        <w:gridCol w:w="4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031" w:type="dxa"/>
            <w:vAlign w:val="center"/>
          </w:tcPr>
          <w:p>
            <w:pPr>
              <w:adjustRightInd w:val="0"/>
              <w:snapToGrid w:val="0"/>
              <w:jc w:val="center"/>
              <w:rPr>
                <w:rFonts w:hAnsi="宋体"/>
                <w:bCs/>
                <w:sz w:val="21"/>
                <w:szCs w:val="21"/>
              </w:rPr>
            </w:pPr>
            <w:r>
              <w:rPr>
                <w:rFonts w:hAnsi="宋体"/>
                <w:bCs/>
                <w:sz w:val="21"/>
                <w:szCs w:val="21"/>
              </w:rPr>
              <w:t>项目名称</w:t>
            </w:r>
          </w:p>
        </w:tc>
        <w:tc>
          <w:tcPr>
            <w:tcW w:w="6491" w:type="dxa"/>
            <w:gridSpan w:val="2"/>
            <w:vAlign w:val="center"/>
          </w:tcPr>
          <w:p>
            <w:pPr>
              <w:adjustRightInd w:val="0"/>
              <w:snapToGrid w:val="0"/>
              <w:jc w:val="center"/>
              <w:rPr>
                <w:rFonts w:hAnsi="宋体"/>
                <w:bCs/>
                <w:sz w:val="21"/>
                <w:szCs w:val="21"/>
              </w:rPr>
            </w:pPr>
            <w:r>
              <w:rPr>
                <w:rFonts w:hint="default" w:hAnsi="宋体"/>
                <w:bCs/>
                <w:sz w:val="21"/>
                <w:szCs w:val="21"/>
              </w:rPr>
              <w:t>甘肃湛昌矿业有限责任公司</w:t>
            </w:r>
            <w:r>
              <w:rPr>
                <w:rFonts w:hint="default" w:hAnsi="宋体"/>
                <w:bCs/>
                <w:sz w:val="21"/>
                <w:szCs w:val="21"/>
                <w:lang w:val="en-US" w:eastAsia="zh-CN"/>
              </w:rPr>
              <w:t>甘肃省</w:t>
            </w:r>
            <w:r>
              <w:rPr>
                <w:rFonts w:hint="default" w:hAnsi="宋体"/>
                <w:bCs/>
                <w:sz w:val="21"/>
                <w:szCs w:val="21"/>
              </w:rPr>
              <w:t>玉门市车路沟大坂金矿开发项目环境影响报告书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22" w:type="dxa"/>
            <w:gridSpan w:val="3"/>
            <w:vAlign w:val="center"/>
          </w:tcPr>
          <w:p>
            <w:pPr>
              <w:adjustRightInd w:val="0"/>
              <w:snapToGrid w:val="0"/>
              <w:jc w:val="left"/>
              <w:rPr>
                <w:rFonts w:ascii="黑体" w:hAnsi="黑体" w:eastAsia="黑体"/>
                <w:sz w:val="21"/>
                <w:szCs w:val="21"/>
              </w:rPr>
            </w:pPr>
            <w:r>
              <w:rPr>
                <w:rFonts w:hint="eastAsia" w:ascii="黑体" w:hAnsi="黑体" w:eastAsia="黑体" w:cs="黑体"/>
                <w:bCs/>
                <w:sz w:val="21"/>
                <w:szCs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2031" w:type="dxa"/>
            <w:vAlign w:val="center"/>
          </w:tcPr>
          <w:p>
            <w:pPr>
              <w:adjustRightInd w:val="0"/>
              <w:snapToGrid w:val="0"/>
              <w:jc w:val="center"/>
              <w:rPr>
                <w:rFonts w:hAnsi="宋体"/>
                <w:sz w:val="21"/>
                <w:szCs w:val="21"/>
              </w:rPr>
            </w:pPr>
            <w:r>
              <w:rPr>
                <w:rFonts w:hAnsi="宋体"/>
                <w:b/>
                <w:bCs/>
                <w:sz w:val="21"/>
                <w:szCs w:val="21"/>
              </w:rPr>
              <w:t>与本项目环境影响和环境保护措施有关的建议和意见</w:t>
            </w:r>
            <w:r>
              <w:rPr>
                <w:rFonts w:hAnsi="宋体"/>
                <w:sz w:val="21"/>
                <w:szCs w:val="21"/>
              </w:rPr>
              <w:t>（</w:t>
            </w:r>
            <w:r>
              <w:rPr>
                <w:rFonts w:hAnsi="宋体"/>
                <w:b/>
                <w:bCs/>
                <w:sz w:val="21"/>
                <w:szCs w:val="21"/>
              </w:rPr>
              <w:t>注：</w:t>
            </w:r>
            <w:r>
              <w:rPr>
                <w:rFonts w:hAnsi="宋体"/>
                <w:sz w:val="21"/>
                <w:szCs w:val="21"/>
              </w:rPr>
              <w:t>根据《环境影响评价公众参与办法》规定，涉及</w:t>
            </w:r>
            <w:r>
              <w:rPr>
                <w:rFonts w:hAnsi="宋体"/>
                <w:b/>
                <w:bCs/>
                <w:sz w:val="21"/>
                <w:szCs w:val="21"/>
              </w:rPr>
              <w:t>征地拆迁、财产、就业</w:t>
            </w:r>
            <w:r>
              <w:rPr>
                <w:rFonts w:hAnsi="宋体"/>
                <w:sz w:val="21"/>
                <w:szCs w:val="21"/>
              </w:rPr>
              <w:t>等与项目环评无关的意见或者诉求不属于项目环评公参内容）</w:t>
            </w:r>
          </w:p>
        </w:tc>
        <w:tc>
          <w:tcPr>
            <w:tcW w:w="6491" w:type="dxa"/>
            <w:gridSpan w:val="2"/>
          </w:tcPr>
          <w:p>
            <w:pPr>
              <w:adjustRightInd w:val="0"/>
              <w:snapToGrid w:val="0"/>
              <w:ind w:firstLine="420"/>
              <w:rPr>
                <w:rFonts w:hAnsi="宋体"/>
                <w:sz w:val="21"/>
                <w:szCs w:val="21"/>
              </w:rPr>
            </w:pPr>
          </w:p>
          <w:p>
            <w:pPr>
              <w:adjustRightInd w:val="0"/>
              <w:snapToGrid w:val="0"/>
              <w:ind w:firstLine="420"/>
              <w:rPr>
                <w:rFonts w:hAnsi="宋体"/>
                <w:sz w:val="21"/>
                <w:szCs w:val="21"/>
              </w:rPr>
            </w:pPr>
          </w:p>
          <w:p>
            <w:pPr>
              <w:adjustRightInd w:val="0"/>
              <w:snapToGrid w:val="0"/>
              <w:ind w:firstLine="420"/>
              <w:rPr>
                <w:rFonts w:hAnsi="宋体"/>
                <w:sz w:val="21"/>
                <w:szCs w:val="21"/>
              </w:rPr>
            </w:pPr>
          </w:p>
          <w:p>
            <w:pPr>
              <w:adjustRightInd w:val="0"/>
              <w:snapToGrid w:val="0"/>
              <w:jc w:val="center"/>
              <w:rPr>
                <w:rFonts w:hAnsi="宋体"/>
                <w:sz w:val="21"/>
                <w:szCs w:val="21"/>
              </w:rPr>
            </w:pPr>
          </w:p>
          <w:p>
            <w:pPr>
              <w:adjustRightInd w:val="0"/>
              <w:snapToGrid w:val="0"/>
              <w:jc w:val="center"/>
              <w:rPr>
                <w:rFonts w:hAnsi="宋体"/>
                <w:sz w:val="21"/>
                <w:szCs w:val="21"/>
              </w:rPr>
            </w:pPr>
          </w:p>
          <w:p>
            <w:pPr>
              <w:adjustRightInd w:val="0"/>
              <w:snapToGrid w:val="0"/>
              <w:jc w:val="center"/>
              <w:rPr>
                <w:rFonts w:hAnsi="宋体"/>
                <w:sz w:val="21"/>
                <w:szCs w:val="21"/>
              </w:rPr>
            </w:pPr>
          </w:p>
          <w:p>
            <w:pPr>
              <w:adjustRightInd w:val="0"/>
              <w:snapToGrid w:val="0"/>
              <w:jc w:val="left"/>
              <w:rPr>
                <w:rFonts w:hAnsi="宋体"/>
                <w:sz w:val="21"/>
                <w:szCs w:val="21"/>
              </w:rPr>
            </w:pPr>
          </w:p>
          <w:p>
            <w:pPr>
              <w:adjustRightInd w:val="0"/>
              <w:snapToGrid w:val="0"/>
              <w:jc w:val="left"/>
              <w:rPr>
                <w:rFonts w:hAnsi="宋体"/>
                <w:sz w:val="21"/>
                <w:szCs w:val="21"/>
              </w:rPr>
            </w:pPr>
            <w:r>
              <w:rPr>
                <w:rFonts w:hAnsi="宋体"/>
                <w:sz w:val="21"/>
                <w:szCs w:val="21"/>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22" w:type="dxa"/>
            <w:gridSpan w:val="3"/>
            <w:vAlign w:val="center"/>
          </w:tcPr>
          <w:p>
            <w:pPr>
              <w:adjustRightInd w:val="0"/>
              <w:snapToGrid w:val="0"/>
              <w:rPr>
                <w:rFonts w:ascii="黑体" w:hAnsi="黑体" w:eastAsia="黑体"/>
                <w:sz w:val="21"/>
                <w:szCs w:val="21"/>
              </w:rPr>
            </w:pPr>
            <w:r>
              <w:rPr>
                <w:rFonts w:hint="eastAsia" w:ascii="黑体" w:hAnsi="黑体" w:eastAsia="黑体" w:cs="黑体"/>
                <w:bCs/>
                <w:sz w:val="21"/>
                <w:szCs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522" w:type="dxa"/>
            <w:gridSpan w:val="3"/>
            <w:vAlign w:val="center"/>
          </w:tcPr>
          <w:p>
            <w:pPr>
              <w:adjustRightInd w:val="0"/>
              <w:snapToGrid w:val="0"/>
              <w:rPr>
                <w:rFonts w:hAnsi="宋体"/>
                <w:sz w:val="21"/>
                <w:szCs w:val="21"/>
              </w:rPr>
            </w:pPr>
            <w:r>
              <w:rPr>
                <w:rFonts w:hAnsi="宋体"/>
                <w:b/>
                <w:bCs/>
                <w:sz w:val="21"/>
                <w:szCs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3975" w:type="dxa"/>
            <w:gridSpan w:val="2"/>
            <w:vAlign w:val="center"/>
          </w:tcPr>
          <w:p>
            <w:pPr>
              <w:adjustRightInd w:val="0"/>
              <w:snapToGrid w:val="0"/>
              <w:jc w:val="center"/>
              <w:rPr>
                <w:rFonts w:hAnsi="宋体"/>
                <w:b/>
                <w:bCs/>
                <w:sz w:val="21"/>
                <w:szCs w:val="21"/>
              </w:rPr>
            </w:pPr>
            <w:r>
              <w:rPr>
                <w:rFonts w:hAnsi="宋体"/>
                <w:b/>
                <w:bCs/>
                <w:sz w:val="21"/>
                <w:szCs w:val="21"/>
              </w:rPr>
              <w:t xml:space="preserve">姓 </w:t>
            </w:r>
            <w:r>
              <w:rPr>
                <w:rFonts w:hint="eastAsia" w:hAnsi="宋体"/>
                <w:b/>
                <w:bCs/>
                <w:sz w:val="21"/>
                <w:szCs w:val="21"/>
              </w:rPr>
              <w:t xml:space="preserve">  </w:t>
            </w:r>
            <w:r>
              <w:rPr>
                <w:rFonts w:hAnsi="宋体"/>
                <w:b/>
                <w:bCs/>
                <w:sz w:val="21"/>
                <w:szCs w:val="21"/>
              </w:rPr>
              <w:t>名</w:t>
            </w:r>
          </w:p>
        </w:tc>
        <w:tc>
          <w:tcPr>
            <w:tcW w:w="4547" w:type="dxa"/>
            <w:vAlign w:val="center"/>
          </w:tcPr>
          <w:p>
            <w:pPr>
              <w:adjustRightInd w:val="0"/>
              <w:snapToGrid w:val="0"/>
              <w:ind w:firstLine="420"/>
              <w:rPr>
                <w:rFonts w:hAnsi="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975" w:type="dxa"/>
            <w:gridSpan w:val="2"/>
            <w:vAlign w:val="center"/>
          </w:tcPr>
          <w:p>
            <w:pPr>
              <w:adjustRightInd w:val="0"/>
              <w:snapToGrid w:val="0"/>
              <w:jc w:val="center"/>
              <w:rPr>
                <w:rFonts w:hAnsi="宋体"/>
                <w:b/>
                <w:bCs/>
                <w:sz w:val="21"/>
                <w:szCs w:val="21"/>
              </w:rPr>
            </w:pPr>
            <w:r>
              <w:rPr>
                <w:rFonts w:hAnsi="宋体"/>
                <w:b/>
                <w:bCs/>
                <w:sz w:val="21"/>
                <w:szCs w:val="21"/>
              </w:rPr>
              <w:t>身份证号</w:t>
            </w:r>
          </w:p>
        </w:tc>
        <w:tc>
          <w:tcPr>
            <w:tcW w:w="4547" w:type="dxa"/>
            <w:vAlign w:val="center"/>
          </w:tcPr>
          <w:p>
            <w:pPr>
              <w:adjustRightInd w:val="0"/>
              <w:snapToGrid w:val="0"/>
              <w:ind w:firstLine="420"/>
              <w:rPr>
                <w:rFonts w:hAnsi="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3975" w:type="dxa"/>
            <w:gridSpan w:val="2"/>
            <w:vAlign w:val="center"/>
          </w:tcPr>
          <w:p>
            <w:pPr>
              <w:adjustRightInd w:val="0"/>
              <w:snapToGrid w:val="0"/>
              <w:jc w:val="center"/>
              <w:rPr>
                <w:rFonts w:hAnsi="宋体"/>
                <w:b/>
                <w:bCs/>
                <w:sz w:val="21"/>
                <w:szCs w:val="21"/>
              </w:rPr>
            </w:pPr>
            <w:r>
              <w:rPr>
                <w:rFonts w:hAnsi="宋体"/>
                <w:b/>
                <w:bCs/>
                <w:sz w:val="21"/>
                <w:szCs w:val="21"/>
              </w:rPr>
              <w:t>有效联系方式</w:t>
            </w:r>
          </w:p>
          <w:p>
            <w:pPr>
              <w:adjustRightInd w:val="0"/>
              <w:snapToGrid w:val="0"/>
              <w:jc w:val="center"/>
              <w:rPr>
                <w:rFonts w:hAnsi="宋体"/>
                <w:sz w:val="21"/>
                <w:szCs w:val="21"/>
              </w:rPr>
            </w:pPr>
            <w:r>
              <w:rPr>
                <w:rFonts w:hAnsi="宋体"/>
                <w:sz w:val="21"/>
                <w:szCs w:val="21"/>
              </w:rPr>
              <w:t>（电话号码或邮箱）</w:t>
            </w:r>
          </w:p>
        </w:tc>
        <w:tc>
          <w:tcPr>
            <w:tcW w:w="4547" w:type="dxa"/>
            <w:vAlign w:val="center"/>
          </w:tcPr>
          <w:p>
            <w:pPr>
              <w:adjustRightInd w:val="0"/>
              <w:snapToGrid w:val="0"/>
              <w:ind w:firstLine="420"/>
              <w:rPr>
                <w:rFonts w:hAnsi="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3975" w:type="dxa"/>
            <w:gridSpan w:val="2"/>
            <w:vAlign w:val="center"/>
          </w:tcPr>
          <w:p>
            <w:pPr>
              <w:adjustRightInd w:val="0"/>
              <w:snapToGrid w:val="0"/>
              <w:jc w:val="center"/>
              <w:rPr>
                <w:rFonts w:hAnsi="宋体"/>
                <w:b/>
                <w:bCs/>
                <w:sz w:val="21"/>
                <w:szCs w:val="21"/>
              </w:rPr>
            </w:pPr>
            <w:r>
              <w:rPr>
                <w:rFonts w:hAnsi="宋体"/>
                <w:b/>
                <w:bCs/>
                <w:sz w:val="21"/>
                <w:szCs w:val="21"/>
              </w:rPr>
              <w:t>经常居住地址</w:t>
            </w:r>
          </w:p>
        </w:tc>
        <w:tc>
          <w:tcPr>
            <w:tcW w:w="4547" w:type="dxa"/>
            <w:vAlign w:val="center"/>
          </w:tcPr>
          <w:p>
            <w:pPr>
              <w:adjustRightInd w:val="0"/>
              <w:snapToGrid w:val="0"/>
              <w:ind w:firstLine="420"/>
              <w:rPr>
                <w:rFonts w:hAnsi="宋体"/>
                <w:sz w:val="21"/>
                <w:szCs w:val="21"/>
              </w:rPr>
            </w:pPr>
            <w:r>
              <w:rPr>
                <w:rFonts w:hint="eastAsia"/>
                <w:sz w:val="21"/>
                <w:szCs w:val="21"/>
                <w:u w:val="single"/>
              </w:rPr>
              <w:t xml:space="preserve">     </w:t>
            </w:r>
            <w:r>
              <w:rPr>
                <w:rFonts w:hAnsi="宋体"/>
                <w:sz w:val="21"/>
                <w:szCs w:val="21"/>
              </w:rPr>
              <w:t>省</w:t>
            </w:r>
            <w:r>
              <w:rPr>
                <w:rFonts w:hint="eastAsia"/>
                <w:sz w:val="21"/>
                <w:szCs w:val="21"/>
                <w:u w:val="single"/>
              </w:rPr>
              <w:t xml:space="preserve">      </w:t>
            </w:r>
            <w:r>
              <w:rPr>
                <w:rFonts w:hAnsi="宋体"/>
                <w:sz w:val="21"/>
                <w:szCs w:val="21"/>
              </w:rPr>
              <w:t>市</w:t>
            </w:r>
            <w:r>
              <w:rPr>
                <w:rFonts w:hint="eastAsia"/>
                <w:sz w:val="21"/>
                <w:szCs w:val="21"/>
                <w:u w:val="single"/>
              </w:rPr>
              <w:t xml:space="preserve">      </w:t>
            </w:r>
            <w:r>
              <w:rPr>
                <w:rFonts w:hAnsi="宋体"/>
                <w:sz w:val="21"/>
                <w:szCs w:val="21"/>
              </w:rPr>
              <w:t>县（区、市）</w:t>
            </w:r>
            <w:r>
              <w:rPr>
                <w:rFonts w:hint="eastAsia"/>
                <w:sz w:val="21"/>
                <w:szCs w:val="21"/>
                <w:u w:val="single"/>
              </w:rPr>
              <w:t xml:space="preserve">     </w:t>
            </w:r>
            <w:r>
              <w:rPr>
                <w:rFonts w:hAnsi="宋体"/>
                <w:sz w:val="21"/>
                <w:szCs w:val="21"/>
              </w:rPr>
              <w:t>乡（镇、街道）</w:t>
            </w:r>
            <w:r>
              <w:rPr>
                <w:rFonts w:hint="eastAsia"/>
                <w:sz w:val="21"/>
                <w:szCs w:val="21"/>
                <w:u w:val="single"/>
              </w:rPr>
              <w:t xml:space="preserve">     </w:t>
            </w:r>
            <w:r>
              <w:rPr>
                <w:rFonts w:hAnsi="宋体"/>
                <w:sz w:val="21"/>
                <w:szCs w:val="21"/>
              </w:rPr>
              <w:t>村（居委会）</w:t>
            </w:r>
            <w:r>
              <w:rPr>
                <w:rFonts w:hint="eastAsia"/>
                <w:sz w:val="21"/>
                <w:szCs w:val="21"/>
                <w:u w:val="single"/>
              </w:rPr>
              <w:t xml:space="preserve">      </w:t>
            </w:r>
            <w:r>
              <w:rPr>
                <w:rFonts w:hAnsi="宋体"/>
                <w:sz w:val="21"/>
                <w:szCs w:val="21"/>
              </w:rPr>
              <w:t>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3975" w:type="dxa"/>
            <w:gridSpan w:val="2"/>
            <w:vAlign w:val="center"/>
          </w:tcPr>
          <w:p>
            <w:pPr>
              <w:adjustRightInd w:val="0"/>
              <w:snapToGrid w:val="0"/>
              <w:jc w:val="center"/>
              <w:rPr>
                <w:rFonts w:hAnsi="宋体"/>
                <w:b/>
                <w:bCs/>
                <w:sz w:val="21"/>
                <w:szCs w:val="21"/>
              </w:rPr>
            </w:pPr>
            <w:r>
              <w:rPr>
                <w:rFonts w:hAnsi="宋体"/>
                <w:b/>
                <w:bCs/>
                <w:sz w:val="21"/>
                <w:szCs w:val="21"/>
              </w:rPr>
              <w:t>是否同意公开个人信息</w:t>
            </w:r>
          </w:p>
          <w:p>
            <w:pPr>
              <w:adjustRightInd w:val="0"/>
              <w:snapToGrid w:val="0"/>
              <w:jc w:val="center"/>
              <w:rPr>
                <w:rFonts w:hAnsi="宋体"/>
                <w:b/>
                <w:bCs/>
                <w:sz w:val="21"/>
                <w:szCs w:val="21"/>
              </w:rPr>
            </w:pPr>
            <w:r>
              <w:rPr>
                <w:rFonts w:hAnsi="宋体"/>
                <w:sz w:val="21"/>
                <w:szCs w:val="21"/>
              </w:rPr>
              <w:t>（填同意或不同意）</w:t>
            </w:r>
          </w:p>
        </w:tc>
        <w:tc>
          <w:tcPr>
            <w:tcW w:w="4547" w:type="dxa"/>
            <w:vAlign w:val="center"/>
          </w:tcPr>
          <w:p>
            <w:pPr>
              <w:adjustRightInd w:val="0"/>
              <w:snapToGrid w:val="0"/>
              <w:ind w:firstLine="420"/>
              <w:rPr>
                <w:rFonts w:hAnsi="宋体"/>
                <w:sz w:val="21"/>
                <w:szCs w:val="21"/>
              </w:rPr>
            </w:pPr>
          </w:p>
          <w:p>
            <w:pPr>
              <w:adjustRightInd w:val="0"/>
              <w:snapToGrid w:val="0"/>
              <w:ind w:firstLine="420"/>
              <w:rPr>
                <w:rFonts w:hAnsi="宋体"/>
                <w:sz w:val="21"/>
                <w:szCs w:val="21"/>
              </w:rPr>
            </w:pPr>
            <w:r>
              <w:rPr>
                <w:rFonts w:hAnsi="宋体"/>
                <w:sz w:val="21"/>
                <w:szCs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8522" w:type="dxa"/>
            <w:gridSpan w:val="3"/>
            <w:vAlign w:val="center"/>
          </w:tcPr>
          <w:p>
            <w:pPr>
              <w:adjustRightInd w:val="0"/>
              <w:snapToGrid w:val="0"/>
              <w:jc w:val="left"/>
              <w:rPr>
                <w:rFonts w:hAnsi="宋体"/>
                <w:sz w:val="21"/>
                <w:szCs w:val="21"/>
              </w:rPr>
            </w:pPr>
            <w:r>
              <w:rPr>
                <w:rFonts w:hAnsi="宋体"/>
                <w:b/>
                <w:bCs/>
                <w:sz w:val="21"/>
                <w:szCs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031" w:type="dxa"/>
            <w:vAlign w:val="center"/>
          </w:tcPr>
          <w:p>
            <w:pPr>
              <w:adjustRightInd w:val="0"/>
              <w:snapToGrid w:val="0"/>
              <w:jc w:val="center"/>
              <w:rPr>
                <w:rFonts w:hAnsi="宋体"/>
                <w:b/>
                <w:bCs/>
                <w:sz w:val="21"/>
                <w:szCs w:val="21"/>
              </w:rPr>
            </w:pPr>
            <w:r>
              <w:rPr>
                <w:rFonts w:hAnsi="宋体"/>
                <w:b/>
                <w:bCs/>
                <w:sz w:val="21"/>
                <w:szCs w:val="21"/>
              </w:rPr>
              <w:t>单位名称</w:t>
            </w:r>
          </w:p>
        </w:tc>
        <w:tc>
          <w:tcPr>
            <w:tcW w:w="6491" w:type="dxa"/>
            <w:gridSpan w:val="2"/>
          </w:tcPr>
          <w:p>
            <w:pPr>
              <w:adjustRightInd w:val="0"/>
              <w:snapToGrid w:val="0"/>
              <w:ind w:firstLine="422"/>
              <w:rPr>
                <w:rFonts w:hAnsi="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031" w:type="dxa"/>
            <w:vAlign w:val="center"/>
          </w:tcPr>
          <w:p>
            <w:pPr>
              <w:adjustRightInd w:val="0"/>
              <w:snapToGrid w:val="0"/>
              <w:jc w:val="center"/>
              <w:rPr>
                <w:rFonts w:hAnsi="宋体"/>
                <w:b/>
                <w:bCs/>
                <w:sz w:val="21"/>
                <w:szCs w:val="21"/>
              </w:rPr>
            </w:pPr>
            <w:r>
              <w:rPr>
                <w:rFonts w:hAnsi="宋体"/>
                <w:b/>
                <w:bCs/>
                <w:sz w:val="21"/>
                <w:szCs w:val="21"/>
              </w:rPr>
              <w:t>工商注册号或统一社会信用代码</w:t>
            </w:r>
          </w:p>
        </w:tc>
        <w:tc>
          <w:tcPr>
            <w:tcW w:w="6491" w:type="dxa"/>
            <w:gridSpan w:val="2"/>
          </w:tcPr>
          <w:p>
            <w:pPr>
              <w:adjustRightInd w:val="0"/>
              <w:snapToGrid w:val="0"/>
              <w:ind w:firstLine="422"/>
              <w:rPr>
                <w:rFonts w:hAnsi="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31" w:type="dxa"/>
            <w:vAlign w:val="center"/>
          </w:tcPr>
          <w:p>
            <w:pPr>
              <w:adjustRightInd w:val="0"/>
              <w:snapToGrid w:val="0"/>
              <w:jc w:val="center"/>
              <w:rPr>
                <w:rFonts w:hAnsi="宋体"/>
                <w:b/>
                <w:bCs/>
                <w:sz w:val="21"/>
                <w:szCs w:val="21"/>
              </w:rPr>
            </w:pPr>
            <w:r>
              <w:rPr>
                <w:rFonts w:hAnsi="宋体"/>
                <w:b/>
                <w:bCs/>
                <w:sz w:val="21"/>
                <w:szCs w:val="21"/>
              </w:rPr>
              <w:t>有效联系方式</w:t>
            </w:r>
          </w:p>
          <w:p>
            <w:pPr>
              <w:adjustRightInd w:val="0"/>
              <w:snapToGrid w:val="0"/>
              <w:jc w:val="center"/>
              <w:rPr>
                <w:rFonts w:hAnsi="宋体"/>
                <w:b/>
                <w:bCs/>
                <w:sz w:val="21"/>
                <w:szCs w:val="21"/>
              </w:rPr>
            </w:pPr>
            <w:r>
              <w:rPr>
                <w:rFonts w:hAnsi="宋体"/>
                <w:sz w:val="21"/>
                <w:szCs w:val="21"/>
              </w:rPr>
              <w:t>（电话号码或邮箱）</w:t>
            </w:r>
          </w:p>
        </w:tc>
        <w:tc>
          <w:tcPr>
            <w:tcW w:w="6491" w:type="dxa"/>
            <w:gridSpan w:val="2"/>
          </w:tcPr>
          <w:p>
            <w:pPr>
              <w:adjustRightInd w:val="0"/>
              <w:snapToGrid w:val="0"/>
              <w:ind w:firstLine="422"/>
              <w:rPr>
                <w:rFonts w:hAnsi="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031" w:type="dxa"/>
            <w:vAlign w:val="center"/>
          </w:tcPr>
          <w:p>
            <w:pPr>
              <w:adjustRightInd w:val="0"/>
              <w:snapToGrid w:val="0"/>
              <w:jc w:val="center"/>
              <w:rPr>
                <w:rFonts w:hAnsi="宋体"/>
                <w:b/>
                <w:bCs/>
                <w:sz w:val="21"/>
                <w:szCs w:val="21"/>
              </w:rPr>
            </w:pPr>
            <w:r>
              <w:rPr>
                <w:rFonts w:hAnsi="宋体"/>
                <w:b/>
                <w:bCs/>
                <w:sz w:val="21"/>
                <w:szCs w:val="21"/>
              </w:rPr>
              <w:t xml:space="preserve">地  </w:t>
            </w:r>
            <w:r>
              <w:rPr>
                <w:rFonts w:hint="eastAsia" w:hAnsi="宋体"/>
                <w:b/>
                <w:bCs/>
                <w:sz w:val="21"/>
                <w:szCs w:val="21"/>
              </w:rPr>
              <w:t xml:space="preserve">  </w:t>
            </w:r>
            <w:r>
              <w:rPr>
                <w:rFonts w:hAnsi="宋体"/>
                <w:b/>
                <w:bCs/>
                <w:sz w:val="21"/>
                <w:szCs w:val="21"/>
              </w:rPr>
              <w:t>址</w:t>
            </w:r>
          </w:p>
        </w:tc>
        <w:tc>
          <w:tcPr>
            <w:tcW w:w="6491" w:type="dxa"/>
            <w:gridSpan w:val="2"/>
            <w:vAlign w:val="center"/>
          </w:tcPr>
          <w:p>
            <w:pPr>
              <w:adjustRightInd w:val="0"/>
              <w:snapToGrid w:val="0"/>
              <w:ind w:firstLine="420"/>
              <w:rPr>
                <w:rFonts w:hAnsi="宋体"/>
                <w:b/>
                <w:bCs/>
                <w:sz w:val="21"/>
                <w:szCs w:val="21"/>
              </w:rPr>
            </w:pPr>
            <w:r>
              <w:rPr>
                <w:rFonts w:hint="eastAsia"/>
                <w:sz w:val="21"/>
                <w:szCs w:val="21"/>
                <w:u w:val="single"/>
              </w:rPr>
              <w:t xml:space="preserve">      </w:t>
            </w:r>
            <w:r>
              <w:rPr>
                <w:rFonts w:hAnsi="宋体"/>
                <w:sz w:val="21"/>
                <w:szCs w:val="21"/>
              </w:rPr>
              <w:t>省</w:t>
            </w:r>
            <w:r>
              <w:rPr>
                <w:rFonts w:hint="eastAsia"/>
                <w:sz w:val="21"/>
                <w:szCs w:val="21"/>
                <w:u w:val="single"/>
              </w:rPr>
              <w:t xml:space="preserve">       </w:t>
            </w:r>
            <w:r>
              <w:rPr>
                <w:rFonts w:hAnsi="宋体"/>
                <w:sz w:val="21"/>
                <w:szCs w:val="21"/>
              </w:rPr>
              <w:t>市</w:t>
            </w:r>
            <w:r>
              <w:rPr>
                <w:rFonts w:hint="eastAsia"/>
                <w:sz w:val="21"/>
                <w:szCs w:val="21"/>
                <w:u w:val="single"/>
              </w:rPr>
              <w:t xml:space="preserve">      </w:t>
            </w:r>
            <w:r>
              <w:rPr>
                <w:rFonts w:hAnsi="宋体"/>
                <w:sz w:val="21"/>
                <w:szCs w:val="21"/>
              </w:rPr>
              <w:t>县（区、市）</w:t>
            </w:r>
            <w:r>
              <w:rPr>
                <w:rFonts w:hint="eastAsia"/>
                <w:sz w:val="21"/>
                <w:szCs w:val="21"/>
                <w:u w:val="single"/>
              </w:rPr>
              <w:t xml:space="preserve">     </w:t>
            </w:r>
            <w:r>
              <w:rPr>
                <w:rFonts w:hAnsi="宋体"/>
                <w:sz w:val="21"/>
                <w:szCs w:val="21"/>
              </w:rPr>
              <w:t>乡（镇、街道）</w:t>
            </w:r>
            <w:r>
              <w:rPr>
                <w:rFonts w:hint="eastAsia"/>
                <w:sz w:val="21"/>
                <w:szCs w:val="21"/>
                <w:u w:val="single"/>
              </w:rPr>
              <w:t xml:space="preserve">     </w:t>
            </w:r>
            <w:r>
              <w:rPr>
                <w:rFonts w:hAnsi="宋体"/>
                <w:sz w:val="21"/>
                <w:szCs w:val="21"/>
              </w:rPr>
              <w:t>路</w:t>
            </w:r>
            <w:r>
              <w:rPr>
                <w:rFonts w:hint="eastAsia"/>
                <w:sz w:val="21"/>
                <w:szCs w:val="21"/>
                <w:u w:val="single"/>
              </w:rPr>
              <w:t xml:space="preserve">      </w:t>
            </w:r>
            <w:r>
              <w:rPr>
                <w:rFonts w:hAnsi="宋体"/>
                <w:sz w:val="21"/>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522" w:type="dxa"/>
            <w:gridSpan w:val="3"/>
            <w:vAlign w:val="center"/>
          </w:tcPr>
          <w:p>
            <w:pPr>
              <w:tabs>
                <w:tab w:val="left" w:pos="2535"/>
              </w:tabs>
              <w:adjustRightInd w:val="0"/>
              <w:snapToGrid w:val="0"/>
              <w:ind w:firstLine="420"/>
              <w:rPr>
                <w:rFonts w:hAnsi="宋体"/>
                <w:bCs/>
                <w:sz w:val="21"/>
                <w:szCs w:val="21"/>
              </w:rPr>
            </w:pPr>
            <w:r>
              <w:rPr>
                <w:rFonts w:hAnsi="宋体"/>
                <w:bCs/>
                <w:sz w:val="21"/>
                <w:szCs w:val="21"/>
              </w:rPr>
              <w:t>注：法人或其他组织信息原则上可以公开，若涉及不能公开的信息请在此栏中注明法律依据和不能公开的具体信息。</w:t>
            </w:r>
          </w:p>
        </w:tc>
      </w:tr>
    </w:tbl>
    <w:p>
      <w:pPr>
        <w:spacing w:line="360" w:lineRule="auto"/>
        <w:jc w:val="left"/>
        <w:outlineLvl w:val="1"/>
        <w:rPr>
          <w:rFonts w:ascii="Times New Roman" w:eastAsiaTheme="majorEastAsia"/>
          <w:b/>
          <w:kern w:val="2"/>
        </w:rPr>
      </w:pPr>
      <w:r>
        <w:rPr>
          <w:rFonts w:hint="eastAsia" w:ascii="Times New Roman" w:eastAsiaTheme="majorEastAsia"/>
          <w:b/>
          <w:kern w:val="2"/>
          <w:lang w:val="en-US" w:eastAsia="zh-CN"/>
        </w:rPr>
        <w:t>5</w:t>
      </w:r>
      <w:r>
        <w:rPr>
          <w:rFonts w:hint="eastAsia" w:ascii="Times New Roman" w:eastAsiaTheme="majorEastAsia"/>
          <w:b/>
          <w:kern w:val="2"/>
        </w:rPr>
        <w:t>.2公众意见的反馈情况</w:t>
      </w:r>
    </w:p>
    <w:p>
      <w:pPr>
        <w:spacing w:line="360" w:lineRule="auto"/>
        <w:ind w:firstLine="480" w:firstLineChars="200"/>
        <w:rPr>
          <w:rFonts w:ascii="Times New Roman"/>
          <w:bCs/>
          <w:kern w:val="2"/>
        </w:rPr>
      </w:pPr>
      <w:r>
        <w:rPr>
          <w:rFonts w:hint="eastAsia" w:ascii="Times New Roman"/>
          <w:bCs/>
          <w:kern w:val="2"/>
        </w:rPr>
        <w:t>按照《建设项目环境影响评价公众参与办法》要求，在公示期间，发布了公众意见表的下载连接和反馈方式。截止公示期结束，未收到公众意见表。</w:t>
      </w:r>
    </w:p>
    <w:p>
      <w:pPr>
        <w:spacing w:line="360" w:lineRule="auto"/>
        <w:jc w:val="left"/>
        <w:outlineLvl w:val="1"/>
        <w:rPr>
          <w:rFonts w:ascii="Times New Roman" w:eastAsiaTheme="majorEastAsia"/>
          <w:b/>
          <w:kern w:val="2"/>
        </w:rPr>
      </w:pPr>
      <w:r>
        <w:rPr>
          <w:rFonts w:hint="eastAsia" w:ascii="Times New Roman" w:eastAsiaTheme="majorEastAsia"/>
          <w:b/>
          <w:kern w:val="2"/>
          <w:lang w:val="en-US" w:eastAsia="zh-CN"/>
        </w:rPr>
        <w:t>5</w:t>
      </w:r>
      <w:r>
        <w:rPr>
          <w:rFonts w:hint="eastAsia" w:ascii="Times New Roman" w:eastAsiaTheme="majorEastAsia"/>
          <w:b/>
          <w:kern w:val="2"/>
        </w:rPr>
        <w:t>.3公众意见采纳与未采纳情况</w:t>
      </w:r>
    </w:p>
    <w:p>
      <w:pPr>
        <w:spacing w:line="360" w:lineRule="auto"/>
        <w:ind w:firstLine="480" w:firstLineChars="200"/>
        <w:rPr>
          <w:rFonts w:ascii="Times New Roman"/>
          <w:bCs/>
          <w:kern w:val="2"/>
        </w:rPr>
      </w:pPr>
      <w:r>
        <w:rPr>
          <w:rFonts w:hint="eastAsia" w:ascii="Times New Roman"/>
          <w:bCs/>
          <w:kern w:val="2"/>
        </w:rPr>
        <w:t>公示期间，未收到公众反馈的公众意见表和意见、建议。</w:t>
      </w:r>
    </w:p>
    <w:p>
      <w:pPr>
        <w:spacing w:line="360" w:lineRule="auto"/>
        <w:jc w:val="left"/>
        <w:outlineLvl w:val="0"/>
        <w:rPr>
          <w:rFonts w:ascii="Times New Roman" w:eastAsiaTheme="majorEastAsia"/>
          <w:b/>
          <w:kern w:val="2"/>
          <w:sz w:val="28"/>
          <w:szCs w:val="28"/>
        </w:rPr>
      </w:pPr>
      <w:r>
        <w:rPr>
          <w:rFonts w:hint="eastAsia" w:ascii="Times New Roman" w:eastAsiaTheme="majorEastAsia"/>
          <w:b/>
          <w:kern w:val="2"/>
          <w:sz w:val="28"/>
          <w:szCs w:val="28"/>
          <w:lang w:val="en-US" w:eastAsia="zh-CN"/>
        </w:rPr>
        <w:t>6</w:t>
      </w:r>
      <w:r>
        <w:rPr>
          <w:rFonts w:hint="eastAsia" w:ascii="Times New Roman" w:eastAsiaTheme="majorEastAsia"/>
          <w:b/>
          <w:kern w:val="2"/>
          <w:sz w:val="28"/>
          <w:szCs w:val="28"/>
        </w:rPr>
        <w:t>、其他</w:t>
      </w:r>
    </w:p>
    <w:p>
      <w:pPr>
        <w:widowControl/>
        <w:spacing w:line="360" w:lineRule="auto"/>
        <w:ind w:firstLine="480" w:firstLineChars="200"/>
        <w:jc w:val="left"/>
        <w:rPr>
          <w:rFonts w:ascii="Times New Roman"/>
        </w:rPr>
      </w:pPr>
      <w:r>
        <w:rPr>
          <w:rFonts w:ascii="Times New Roman"/>
        </w:rPr>
        <w:t>存档备查内容包括征求意见稿公示期间现场公示照片、公示报纸。</w:t>
      </w:r>
    </w:p>
    <w:p>
      <w:pPr>
        <w:spacing w:line="360" w:lineRule="auto"/>
        <w:jc w:val="left"/>
        <w:outlineLvl w:val="0"/>
        <w:rPr>
          <w:rFonts w:ascii="Times New Roman" w:eastAsiaTheme="majorEastAsia"/>
          <w:b/>
          <w:kern w:val="2"/>
          <w:sz w:val="28"/>
          <w:szCs w:val="28"/>
        </w:rPr>
      </w:pPr>
      <w:r>
        <w:rPr>
          <w:rFonts w:hint="eastAsia" w:ascii="Times New Roman" w:eastAsiaTheme="majorEastAsia"/>
          <w:b/>
          <w:kern w:val="2"/>
          <w:sz w:val="28"/>
          <w:szCs w:val="28"/>
          <w:lang w:val="en-US" w:eastAsia="zh-CN"/>
        </w:rPr>
        <w:t>7</w:t>
      </w:r>
      <w:r>
        <w:rPr>
          <w:rFonts w:hint="eastAsia" w:ascii="Times New Roman" w:eastAsiaTheme="majorEastAsia"/>
          <w:b/>
          <w:kern w:val="2"/>
          <w:sz w:val="28"/>
          <w:szCs w:val="28"/>
        </w:rPr>
        <w:t>、诚信承诺</w:t>
      </w:r>
    </w:p>
    <w:p>
      <w:pPr>
        <w:spacing w:line="360" w:lineRule="auto"/>
        <w:ind w:firstLine="480" w:firstLineChars="200"/>
        <w:rPr>
          <w:rFonts w:ascii="Times New Roman"/>
          <w:bCs/>
          <w:kern w:val="2"/>
        </w:rPr>
      </w:pPr>
      <w:r>
        <w:rPr>
          <w:rFonts w:hint="eastAsia" w:ascii="Times New Roman"/>
          <w:bCs/>
          <w:kern w:val="2"/>
        </w:rPr>
        <w:t>我单位已按照《环境影项目响评价公众参与办法》（部令第4号）要求，在甘肃湛昌矿业有限责任公司</w:t>
      </w:r>
      <w:r>
        <w:rPr>
          <w:rFonts w:hint="eastAsia" w:ascii="Times New Roman"/>
          <w:bCs/>
          <w:kern w:val="2"/>
          <w:lang w:val="en-US" w:eastAsia="zh-CN"/>
        </w:rPr>
        <w:t>甘肃省</w:t>
      </w:r>
      <w:r>
        <w:rPr>
          <w:rFonts w:hint="eastAsia" w:ascii="Times New Roman"/>
          <w:bCs/>
          <w:kern w:val="2"/>
        </w:rPr>
        <w:t>玉门市车路沟大坂金矿开发项目环境影响报告书编制阶段开展了公众参与工作，在环境影响评价公众参与公示期间，未收到公众反馈的公众意见表和意见、建议。我单位对公众意见采纳与未采纳情况进行了说明，并按照要求编制了公众参与说明。</w:t>
      </w:r>
    </w:p>
    <w:p>
      <w:pPr>
        <w:spacing w:line="360" w:lineRule="auto"/>
        <w:ind w:firstLine="480"/>
        <w:rPr>
          <w:rFonts w:ascii="Times New Roman"/>
          <w:bCs/>
          <w:kern w:val="2"/>
        </w:rPr>
      </w:pPr>
      <w:r>
        <w:rPr>
          <w:rFonts w:hint="eastAsia" w:ascii="Times New Roman"/>
          <w:bCs/>
          <w:kern w:val="2"/>
        </w:rPr>
        <w:t>我单位承诺，本次提交的《甘肃湛昌矿业有限责任公司</w:t>
      </w:r>
      <w:r>
        <w:rPr>
          <w:rFonts w:hint="eastAsia" w:ascii="Times New Roman"/>
          <w:bCs/>
          <w:kern w:val="2"/>
          <w:lang w:val="en-US" w:eastAsia="zh-CN"/>
        </w:rPr>
        <w:t>甘肃省</w:t>
      </w:r>
      <w:r>
        <w:rPr>
          <w:rFonts w:hint="eastAsia" w:ascii="Times New Roman"/>
          <w:bCs/>
          <w:kern w:val="2"/>
        </w:rPr>
        <w:t>玉门市车路沟大坂金矿开发项目环境影响报告书公众参与说明》内容客观、真实，未包含已发不得公开的国家秘密、商业秘密、个人隐私。如存在弄虚作假、期满欺骗等情况及由此导致的一切后果由甘肃湛昌矿业有限责任公司承担全部责任。</w:t>
      </w:r>
    </w:p>
    <w:p>
      <w:pPr>
        <w:spacing w:line="360" w:lineRule="auto"/>
        <w:ind w:firstLine="480" w:firstLineChars="200"/>
        <w:rPr>
          <w:rFonts w:ascii="Times New Roman"/>
          <w:bCs/>
          <w:color w:val="000000" w:themeColor="text1"/>
          <w:kern w:val="2"/>
          <w14:textFill>
            <w14:solidFill>
              <w14:schemeClr w14:val="tx1"/>
            </w14:solidFill>
          </w14:textFill>
        </w:rPr>
      </w:pPr>
      <w:r>
        <w:rPr>
          <w:rFonts w:hint="eastAsia" w:ascii="Times New Roman"/>
          <w:bCs/>
          <w:color w:val="000000" w:themeColor="text1"/>
          <w:kern w:val="2"/>
          <w14:textFill>
            <w14:solidFill>
              <w14:schemeClr w14:val="tx1"/>
            </w14:solidFill>
          </w14:textFill>
        </w:rPr>
        <w:t>承诺单位：甘肃湛昌矿业有限责任公司（盖章）</w:t>
      </w:r>
    </w:p>
    <w:p>
      <w:pPr>
        <w:spacing w:line="360" w:lineRule="auto"/>
        <w:ind w:firstLine="480" w:firstLineChars="200"/>
        <w:rPr>
          <w:rFonts w:ascii="Times New Roman"/>
          <w:bCs/>
          <w:color w:val="000000" w:themeColor="text1"/>
          <w:kern w:val="2"/>
          <w14:textFill>
            <w14:solidFill>
              <w14:schemeClr w14:val="tx1"/>
            </w14:solidFill>
          </w14:textFill>
        </w:rPr>
      </w:pPr>
      <w:r>
        <w:rPr>
          <w:rFonts w:hint="eastAsia" w:ascii="Times New Roman"/>
          <w:bCs/>
          <w:color w:val="000000" w:themeColor="text1"/>
          <w:kern w:val="2"/>
          <w14:textFill>
            <w14:solidFill>
              <w14:schemeClr w14:val="tx1"/>
            </w14:solidFill>
          </w14:textFill>
        </w:rPr>
        <w:t>承诺时间</w:t>
      </w:r>
      <w:r>
        <w:rPr>
          <w:rFonts w:hint="eastAsia" w:ascii="Times New Roman"/>
          <w:bCs/>
          <w:color w:val="auto"/>
          <w:kern w:val="2"/>
        </w:rPr>
        <w:t>：</w:t>
      </w:r>
      <w:r>
        <w:rPr>
          <w:rFonts w:hint="eastAsia" w:ascii="Times New Roman"/>
          <w:bCs/>
          <w:color w:val="auto"/>
          <w:kern w:val="2"/>
          <w:highlight w:val="none"/>
        </w:rPr>
        <w:t>20</w:t>
      </w:r>
      <w:r>
        <w:rPr>
          <w:rFonts w:ascii="Times New Roman"/>
          <w:bCs/>
          <w:color w:val="auto"/>
          <w:kern w:val="2"/>
          <w:highlight w:val="none"/>
        </w:rPr>
        <w:t>2</w:t>
      </w:r>
      <w:r>
        <w:rPr>
          <w:rFonts w:hint="eastAsia" w:ascii="Times New Roman"/>
          <w:bCs/>
          <w:color w:val="auto"/>
          <w:kern w:val="2"/>
          <w:highlight w:val="none"/>
          <w:lang w:val="en-US" w:eastAsia="zh-CN"/>
        </w:rPr>
        <w:t>3</w:t>
      </w:r>
      <w:r>
        <w:rPr>
          <w:rFonts w:hint="eastAsia" w:ascii="Times New Roman"/>
          <w:bCs/>
          <w:color w:val="auto"/>
          <w:kern w:val="2"/>
          <w:highlight w:val="none"/>
        </w:rPr>
        <w:t>年</w:t>
      </w:r>
      <w:r>
        <w:rPr>
          <w:rFonts w:hint="eastAsia" w:ascii="Times New Roman"/>
          <w:bCs/>
          <w:color w:val="auto"/>
          <w:kern w:val="2"/>
          <w:highlight w:val="none"/>
          <w:lang w:val="en-US" w:eastAsia="zh-CN"/>
        </w:rPr>
        <w:t>10</w:t>
      </w:r>
      <w:r>
        <w:rPr>
          <w:rFonts w:hint="eastAsia" w:ascii="Times New Roman"/>
          <w:bCs/>
          <w:color w:val="auto"/>
          <w:kern w:val="2"/>
          <w:highlight w:val="none"/>
        </w:rPr>
        <w:t>月</w:t>
      </w:r>
      <w:r>
        <w:rPr>
          <w:rFonts w:hint="eastAsia" w:ascii="Times New Roman"/>
          <w:bCs/>
          <w:color w:val="auto"/>
          <w:kern w:val="2"/>
          <w:highlight w:val="none"/>
          <w:lang w:val="en-US" w:eastAsia="zh-CN"/>
        </w:rPr>
        <w:t>10</w:t>
      </w:r>
      <w:r>
        <w:rPr>
          <w:rFonts w:hint="eastAsia" w:ascii="Times New Roman"/>
          <w:bCs/>
          <w:color w:val="auto"/>
          <w:kern w:val="2"/>
          <w:highlight w:val="none"/>
        </w:rPr>
        <w:t>日</w:t>
      </w:r>
    </w:p>
    <w:sectPr>
      <w:pgSz w:w="11906" w:h="16838"/>
      <w:pgMar w:top="1440" w:right="1803" w:bottom="1440" w:left="175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5B24F1"/>
    <w:multiLevelType w:val="singleLevel"/>
    <w:tmpl w:val="A55B24F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3N2E0MTJmOWI3YTI0MjAyOTQ0YjZmYTczMTY1ZmQifQ=="/>
  </w:docVars>
  <w:rsids>
    <w:rsidRoot w:val="00A11E77"/>
    <w:rsid w:val="000333F7"/>
    <w:rsid w:val="00062C7B"/>
    <w:rsid w:val="00070F61"/>
    <w:rsid w:val="00076793"/>
    <w:rsid w:val="000A21EB"/>
    <w:rsid w:val="000C703A"/>
    <w:rsid w:val="0010155A"/>
    <w:rsid w:val="00154B6B"/>
    <w:rsid w:val="00164285"/>
    <w:rsid w:val="00187FE9"/>
    <w:rsid w:val="001C2993"/>
    <w:rsid w:val="001D486B"/>
    <w:rsid w:val="001E04B7"/>
    <w:rsid w:val="001F3A64"/>
    <w:rsid w:val="001F5D47"/>
    <w:rsid w:val="00222789"/>
    <w:rsid w:val="002249CC"/>
    <w:rsid w:val="002731ED"/>
    <w:rsid w:val="002A512C"/>
    <w:rsid w:val="002A6344"/>
    <w:rsid w:val="002B5443"/>
    <w:rsid w:val="002D068B"/>
    <w:rsid w:val="003170AC"/>
    <w:rsid w:val="00334791"/>
    <w:rsid w:val="003428AA"/>
    <w:rsid w:val="00394671"/>
    <w:rsid w:val="003B0339"/>
    <w:rsid w:val="003D78B5"/>
    <w:rsid w:val="003E479B"/>
    <w:rsid w:val="003F420F"/>
    <w:rsid w:val="003F5A34"/>
    <w:rsid w:val="00437A22"/>
    <w:rsid w:val="00451787"/>
    <w:rsid w:val="004A6A19"/>
    <w:rsid w:val="00550538"/>
    <w:rsid w:val="00567798"/>
    <w:rsid w:val="005775B7"/>
    <w:rsid w:val="005A6073"/>
    <w:rsid w:val="006129C4"/>
    <w:rsid w:val="00641B8A"/>
    <w:rsid w:val="00672472"/>
    <w:rsid w:val="006840BD"/>
    <w:rsid w:val="006B3C54"/>
    <w:rsid w:val="006F61C6"/>
    <w:rsid w:val="00720E06"/>
    <w:rsid w:val="007321A4"/>
    <w:rsid w:val="00736BC1"/>
    <w:rsid w:val="00752E29"/>
    <w:rsid w:val="00753244"/>
    <w:rsid w:val="007911F3"/>
    <w:rsid w:val="007B6E36"/>
    <w:rsid w:val="007D3007"/>
    <w:rsid w:val="008004D4"/>
    <w:rsid w:val="00824E8A"/>
    <w:rsid w:val="00851D7D"/>
    <w:rsid w:val="008D5745"/>
    <w:rsid w:val="008D7756"/>
    <w:rsid w:val="0092158F"/>
    <w:rsid w:val="009259F1"/>
    <w:rsid w:val="009C5DD0"/>
    <w:rsid w:val="009E281A"/>
    <w:rsid w:val="009F26A4"/>
    <w:rsid w:val="00A033B9"/>
    <w:rsid w:val="00A11E77"/>
    <w:rsid w:val="00A46538"/>
    <w:rsid w:val="00AA0991"/>
    <w:rsid w:val="00AD5D83"/>
    <w:rsid w:val="00AD7344"/>
    <w:rsid w:val="00AE7583"/>
    <w:rsid w:val="00AF6604"/>
    <w:rsid w:val="00B3210F"/>
    <w:rsid w:val="00B3412A"/>
    <w:rsid w:val="00B378F9"/>
    <w:rsid w:val="00B65E4F"/>
    <w:rsid w:val="00B82C36"/>
    <w:rsid w:val="00B96F3F"/>
    <w:rsid w:val="00BD5B04"/>
    <w:rsid w:val="00BE1B7F"/>
    <w:rsid w:val="00BF567F"/>
    <w:rsid w:val="00C21568"/>
    <w:rsid w:val="00C75BEE"/>
    <w:rsid w:val="00C91791"/>
    <w:rsid w:val="00CA0872"/>
    <w:rsid w:val="00CC4FF3"/>
    <w:rsid w:val="00D35C90"/>
    <w:rsid w:val="00D82945"/>
    <w:rsid w:val="00D977D0"/>
    <w:rsid w:val="00DA0160"/>
    <w:rsid w:val="00DD053C"/>
    <w:rsid w:val="00DE3FC5"/>
    <w:rsid w:val="00DE76FE"/>
    <w:rsid w:val="00E1131F"/>
    <w:rsid w:val="00E1464B"/>
    <w:rsid w:val="00E434C6"/>
    <w:rsid w:val="00E44675"/>
    <w:rsid w:val="00EB4D5C"/>
    <w:rsid w:val="00EC52C0"/>
    <w:rsid w:val="00F112B6"/>
    <w:rsid w:val="00F25BBB"/>
    <w:rsid w:val="00F76DEF"/>
    <w:rsid w:val="00FC7A73"/>
    <w:rsid w:val="00FF3268"/>
    <w:rsid w:val="010B2C06"/>
    <w:rsid w:val="018A2B99"/>
    <w:rsid w:val="01D50B5B"/>
    <w:rsid w:val="026D6207"/>
    <w:rsid w:val="028C11F1"/>
    <w:rsid w:val="02B91D5C"/>
    <w:rsid w:val="02FB7D97"/>
    <w:rsid w:val="03301255"/>
    <w:rsid w:val="03F94FF0"/>
    <w:rsid w:val="043A0320"/>
    <w:rsid w:val="04A30736"/>
    <w:rsid w:val="053F5381"/>
    <w:rsid w:val="05586CB1"/>
    <w:rsid w:val="0580330B"/>
    <w:rsid w:val="05B84A5E"/>
    <w:rsid w:val="069D7326"/>
    <w:rsid w:val="070B3C83"/>
    <w:rsid w:val="078B48D1"/>
    <w:rsid w:val="08927A7F"/>
    <w:rsid w:val="089B481A"/>
    <w:rsid w:val="09162DF7"/>
    <w:rsid w:val="092734E9"/>
    <w:rsid w:val="096936CB"/>
    <w:rsid w:val="0A2D6B3A"/>
    <w:rsid w:val="0A3D366F"/>
    <w:rsid w:val="0B9F12BD"/>
    <w:rsid w:val="0BDE0B55"/>
    <w:rsid w:val="0C261018"/>
    <w:rsid w:val="0CE06D0C"/>
    <w:rsid w:val="0CE570C6"/>
    <w:rsid w:val="0D622FB7"/>
    <w:rsid w:val="0DBC2EE2"/>
    <w:rsid w:val="0DF91186"/>
    <w:rsid w:val="0E560258"/>
    <w:rsid w:val="0F2C5639"/>
    <w:rsid w:val="0F2F154E"/>
    <w:rsid w:val="0F7D0D0A"/>
    <w:rsid w:val="104F60B0"/>
    <w:rsid w:val="10E871D8"/>
    <w:rsid w:val="11E3705D"/>
    <w:rsid w:val="12D652AB"/>
    <w:rsid w:val="13494DE8"/>
    <w:rsid w:val="136D7A6B"/>
    <w:rsid w:val="137C5711"/>
    <w:rsid w:val="14363F46"/>
    <w:rsid w:val="144A143A"/>
    <w:rsid w:val="1479764E"/>
    <w:rsid w:val="1501487C"/>
    <w:rsid w:val="1527640A"/>
    <w:rsid w:val="15852C6A"/>
    <w:rsid w:val="15B747FF"/>
    <w:rsid w:val="1602281A"/>
    <w:rsid w:val="16162824"/>
    <w:rsid w:val="16D92F80"/>
    <w:rsid w:val="18430797"/>
    <w:rsid w:val="18D955B8"/>
    <w:rsid w:val="1959108F"/>
    <w:rsid w:val="19750505"/>
    <w:rsid w:val="19A16B6E"/>
    <w:rsid w:val="1A640AF8"/>
    <w:rsid w:val="1AE15EB0"/>
    <w:rsid w:val="1B9151A5"/>
    <w:rsid w:val="1C525D80"/>
    <w:rsid w:val="1C544487"/>
    <w:rsid w:val="1D8E06E7"/>
    <w:rsid w:val="1E2C07F6"/>
    <w:rsid w:val="1E7F381A"/>
    <w:rsid w:val="1F9C3B16"/>
    <w:rsid w:val="1FB9451C"/>
    <w:rsid w:val="202638A3"/>
    <w:rsid w:val="204C45C8"/>
    <w:rsid w:val="205E4570"/>
    <w:rsid w:val="20EF711D"/>
    <w:rsid w:val="21230C0B"/>
    <w:rsid w:val="23326509"/>
    <w:rsid w:val="23AA5C6B"/>
    <w:rsid w:val="23CD04A5"/>
    <w:rsid w:val="23FB1FE9"/>
    <w:rsid w:val="24627559"/>
    <w:rsid w:val="24773046"/>
    <w:rsid w:val="25E41213"/>
    <w:rsid w:val="268A2116"/>
    <w:rsid w:val="269613B9"/>
    <w:rsid w:val="277F49C5"/>
    <w:rsid w:val="27BB4E08"/>
    <w:rsid w:val="27D40C6B"/>
    <w:rsid w:val="290C3F81"/>
    <w:rsid w:val="29217F75"/>
    <w:rsid w:val="29394A22"/>
    <w:rsid w:val="29CD5289"/>
    <w:rsid w:val="2A1B3174"/>
    <w:rsid w:val="2AB910D7"/>
    <w:rsid w:val="2B5A3871"/>
    <w:rsid w:val="2B5C38CC"/>
    <w:rsid w:val="2B830083"/>
    <w:rsid w:val="2BDE46D7"/>
    <w:rsid w:val="2BF26DCD"/>
    <w:rsid w:val="2BF56EB2"/>
    <w:rsid w:val="2C7126C5"/>
    <w:rsid w:val="2E771F23"/>
    <w:rsid w:val="2E7B6BBB"/>
    <w:rsid w:val="2F964AB4"/>
    <w:rsid w:val="2FE5700F"/>
    <w:rsid w:val="30BF25FE"/>
    <w:rsid w:val="317E682A"/>
    <w:rsid w:val="31A361CB"/>
    <w:rsid w:val="32FB3B3A"/>
    <w:rsid w:val="3374227C"/>
    <w:rsid w:val="344367B4"/>
    <w:rsid w:val="34D31E98"/>
    <w:rsid w:val="34D878CC"/>
    <w:rsid w:val="3567210E"/>
    <w:rsid w:val="35E82357"/>
    <w:rsid w:val="35FA6AB4"/>
    <w:rsid w:val="3639652D"/>
    <w:rsid w:val="364246BA"/>
    <w:rsid w:val="369A2DCF"/>
    <w:rsid w:val="36FB675D"/>
    <w:rsid w:val="3796079B"/>
    <w:rsid w:val="37AA7D20"/>
    <w:rsid w:val="380D1285"/>
    <w:rsid w:val="38A5108B"/>
    <w:rsid w:val="38BE3108"/>
    <w:rsid w:val="398A186B"/>
    <w:rsid w:val="3B2D461D"/>
    <w:rsid w:val="3C0262E2"/>
    <w:rsid w:val="3C5F7F24"/>
    <w:rsid w:val="3C9270AE"/>
    <w:rsid w:val="3CAA0BBA"/>
    <w:rsid w:val="3CF773E9"/>
    <w:rsid w:val="3D7C1598"/>
    <w:rsid w:val="3DD57779"/>
    <w:rsid w:val="3E9D276F"/>
    <w:rsid w:val="3EEE3B30"/>
    <w:rsid w:val="3F177CEE"/>
    <w:rsid w:val="3FA43CC1"/>
    <w:rsid w:val="3FCA0D0B"/>
    <w:rsid w:val="3FCC51B9"/>
    <w:rsid w:val="405C1BBE"/>
    <w:rsid w:val="40866D87"/>
    <w:rsid w:val="40A368C7"/>
    <w:rsid w:val="40A7767E"/>
    <w:rsid w:val="40E2054E"/>
    <w:rsid w:val="411C2056"/>
    <w:rsid w:val="41B429B0"/>
    <w:rsid w:val="432C4753"/>
    <w:rsid w:val="434F423C"/>
    <w:rsid w:val="43783948"/>
    <w:rsid w:val="43C1789C"/>
    <w:rsid w:val="43CB60A2"/>
    <w:rsid w:val="44160450"/>
    <w:rsid w:val="44D876EC"/>
    <w:rsid w:val="44DD0CD8"/>
    <w:rsid w:val="450364ED"/>
    <w:rsid w:val="45551D04"/>
    <w:rsid w:val="461A1B30"/>
    <w:rsid w:val="47D32598"/>
    <w:rsid w:val="4A452D2B"/>
    <w:rsid w:val="4A5B77B4"/>
    <w:rsid w:val="4CA05092"/>
    <w:rsid w:val="4D294749"/>
    <w:rsid w:val="4D810A9D"/>
    <w:rsid w:val="4E262C4D"/>
    <w:rsid w:val="4E3C1257"/>
    <w:rsid w:val="4EAF0CD7"/>
    <w:rsid w:val="4FEA36A3"/>
    <w:rsid w:val="507C36C2"/>
    <w:rsid w:val="50D97D6B"/>
    <w:rsid w:val="51854FBE"/>
    <w:rsid w:val="518F25A5"/>
    <w:rsid w:val="51F45A0E"/>
    <w:rsid w:val="522D1236"/>
    <w:rsid w:val="52E64564"/>
    <w:rsid w:val="53363F83"/>
    <w:rsid w:val="53571E1A"/>
    <w:rsid w:val="538A53A7"/>
    <w:rsid w:val="53995CBC"/>
    <w:rsid w:val="54702863"/>
    <w:rsid w:val="54E3370C"/>
    <w:rsid w:val="55476734"/>
    <w:rsid w:val="559277F0"/>
    <w:rsid w:val="55E748BF"/>
    <w:rsid w:val="56401199"/>
    <w:rsid w:val="56A066A5"/>
    <w:rsid w:val="576D080B"/>
    <w:rsid w:val="57F30512"/>
    <w:rsid w:val="581728F2"/>
    <w:rsid w:val="58517C2F"/>
    <w:rsid w:val="58AA14DB"/>
    <w:rsid w:val="58AE2AC9"/>
    <w:rsid w:val="5952228A"/>
    <w:rsid w:val="5AA65188"/>
    <w:rsid w:val="5AE56F04"/>
    <w:rsid w:val="5B374B2A"/>
    <w:rsid w:val="5CAA52F6"/>
    <w:rsid w:val="5D4D35FC"/>
    <w:rsid w:val="5D681AA4"/>
    <w:rsid w:val="5DA34771"/>
    <w:rsid w:val="5DA73F64"/>
    <w:rsid w:val="5E363107"/>
    <w:rsid w:val="5E883DBE"/>
    <w:rsid w:val="5ECA26EC"/>
    <w:rsid w:val="5F7120AA"/>
    <w:rsid w:val="5FBF0D4B"/>
    <w:rsid w:val="61333463"/>
    <w:rsid w:val="61B7381C"/>
    <w:rsid w:val="62555219"/>
    <w:rsid w:val="632B268D"/>
    <w:rsid w:val="633464A2"/>
    <w:rsid w:val="63591114"/>
    <w:rsid w:val="636A7469"/>
    <w:rsid w:val="649311AF"/>
    <w:rsid w:val="65142877"/>
    <w:rsid w:val="65B8285E"/>
    <w:rsid w:val="66121D47"/>
    <w:rsid w:val="66613A34"/>
    <w:rsid w:val="66D74FBA"/>
    <w:rsid w:val="67A86762"/>
    <w:rsid w:val="68765045"/>
    <w:rsid w:val="68C30810"/>
    <w:rsid w:val="6974673C"/>
    <w:rsid w:val="69DC00E5"/>
    <w:rsid w:val="69DF1D4C"/>
    <w:rsid w:val="6A7B489C"/>
    <w:rsid w:val="6AAA5D3E"/>
    <w:rsid w:val="6ADD671C"/>
    <w:rsid w:val="6B2C078F"/>
    <w:rsid w:val="6B6D6AE6"/>
    <w:rsid w:val="6B7C6280"/>
    <w:rsid w:val="6C6A16CF"/>
    <w:rsid w:val="6C9C63EB"/>
    <w:rsid w:val="6DAC0C09"/>
    <w:rsid w:val="6E462F76"/>
    <w:rsid w:val="6E72304F"/>
    <w:rsid w:val="6E766920"/>
    <w:rsid w:val="6E823884"/>
    <w:rsid w:val="6E974F64"/>
    <w:rsid w:val="6EC3623A"/>
    <w:rsid w:val="6F1F54B7"/>
    <w:rsid w:val="6FC74543"/>
    <w:rsid w:val="709C66F8"/>
    <w:rsid w:val="70A96B9F"/>
    <w:rsid w:val="70E111F7"/>
    <w:rsid w:val="71827623"/>
    <w:rsid w:val="720F480D"/>
    <w:rsid w:val="73351AC7"/>
    <w:rsid w:val="735C37B8"/>
    <w:rsid w:val="737779B6"/>
    <w:rsid w:val="73923DE8"/>
    <w:rsid w:val="746B0505"/>
    <w:rsid w:val="74E536D2"/>
    <w:rsid w:val="761E705E"/>
    <w:rsid w:val="770B4356"/>
    <w:rsid w:val="773B4235"/>
    <w:rsid w:val="78AB17F3"/>
    <w:rsid w:val="7AA2479E"/>
    <w:rsid w:val="7B1504D2"/>
    <w:rsid w:val="7B8678E2"/>
    <w:rsid w:val="7BC83E05"/>
    <w:rsid w:val="7BF731EB"/>
    <w:rsid w:val="7C6F3F2E"/>
    <w:rsid w:val="7CAD10EE"/>
    <w:rsid w:val="7CBD5917"/>
    <w:rsid w:val="7E012828"/>
    <w:rsid w:val="7F300DF5"/>
    <w:rsid w:val="7F551F7B"/>
    <w:rsid w:val="7FF02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szCs w:val="24"/>
      <w:lang w:val="en-US" w:eastAsia="zh-CN" w:bidi="ar-SA"/>
    </w:rPr>
  </w:style>
  <w:style w:type="paragraph" w:styleId="2">
    <w:name w:val="heading 2"/>
    <w:basedOn w:val="1"/>
    <w:next w:val="1"/>
    <w:semiHidden/>
    <w:unhideWhenUsed/>
    <w:qFormat/>
    <w:uiPriority w:val="9"/>
    <w:pPr>
      <w:keepNext/>
      <w:keepLines/>
      <w:spacing w:before="260" w:after="260" w:line="413" w:lineRule="auto"/>
      <w:outlineLvl w:val="1"/>
    </w:pPr>
    <w:rPr>
      <w:rFonts w:ascii="Arial" w:hAnsi="Arial" w:eastAsia="黑体"/>
      <w:b/>
      <w:sz w:val="32"/>
    </w:rPr>
  </w:style>
  <w:style w:type="paragraph" w:styleId="3">
    <w:name w:val="heading 3"/>
    <w:basedOn w:val="4"/>
    <w:next w:val="4"/>
    <w:autoRedefine/>
    <w:qFormat/>
    <w:uiPriority w:val="0"/>
    <w:pPr>
      <w:keepNext/>
      <w:keepLines/>
      <w:jc w:val="left"/>
      <w:outlineLvl w:val="2"/>
    </w:pPr>
    <w:rPr>
      <w:rFonts w:eastAsia="黑体"/>
      <w:b/>
      <w:bCs/>
      <w:szCs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0"/>
    <w:pPr>
      <w:spacing w:after="120"/>
    </w:pPr>
  </w:style>
  <w:style w:type="paragraph" w:styleId="5">
    <w:name w:val="Normal Indent"/>
    <w:basedOn w:val="1"/>
    <w:next w:val="6"/>
    <w:autoRedefine/>
    <w:semiHidden/>
    <w:unhideWhenUsed/>
    <w:qFormat/>
    <w:uiPriority w:val="99"/>
    <w:pPr>
      <w:ind w:firstLine="420" w:firstLineChars="200"/>
    </w:pPr>
  </w:style>
  <w:style w:type="paragraph" w:styleId="6">
    <w:name w:val="Body Text First Indent 2"/>
    <w:basedOn w:val="7"/>
    <w:next w:val="1"/>
    <w:autoRedefine/>
    <w:qFormat/>
    <w:uiPriority w:val="0"/>
    <w:pPr>
      <w:ind w:firstLine="420" w:firstLineChars="200"/>
    </w:pPr>
  </w:style>
  <w:style w:type="paragraph" w:styleId="7">
    <w:name w:val="Body Text Indent"/>
    <w:basedOn w:val="1"/>
    <w:next w:val="1"/>
    <w:autoRedefine/>
    <w:qFormat/>
    <w:uiPriority w:val="0"/>
    <w:pPr>
      <w:spacing w:after="120"/>
      <w:ind w:left="420" w:leftChars="200"/>
    </w:pPr>
  </w:style>
  <w:style w:type="paragraph" w:styleId="8">
    <w:name w:val="Plain Text"/>
    <w:basedOn w:val="1"/>
    <w:autoRedefine/>
    <w:unhideWhenUsed/>
    <w:qFormat/>
    <w:uiPriority w:val="99"/>
    <w:rPr>
      <w:rFonts w:ascii="宋体" w:hAnsi="Courier New"/>
      <w:szCs w:val="21"/>
    </w:rPr>
  </w:style>
  <w:style w:type="paragraph" w:styleId="9">
    <w:name w:val="Balloon Text"/>
    <w:basedOn w:val="1"/>
    <w:link w:val="24"/>
    <w:autoRedefine/>
    <w:semiHidden/>
    <w:unhideWhenUsed/>
    <w:qFormat/>
    <w:uiPriority w:val="99"/>
    <w:rPr>
      <w:sz w:val="18"/>
      <w:szCs w:val="18"/>
    </w:rPr>
  </w:style>
  <w:style w:type="paragraph" w:styleId="10">
    <w:name w:val="footer"/>
    <w:basedOn w:val="1"/>
    <w:link w:val="22"/>
    <w:autoRedefine/>
    <w:unhideWhenUsed/>
    <w:qFormat/>
    <w:uiPriority w:val="99"/>
    <w:pPr>
      <w:tabs>
        <w:tab w:val="center" w:pos="4153"/>
        <w:tab w:val="right" w:pos="8306"/>
      </w:tabs>
      <w:snapToGrid w:val="0"/>
      <w:jc w:val="left"/>
    </w:pPr>
    <w:rPr>
      <w:rFonts w:asciiTheme="minorHAnsi" w:hAnsiTheme="minorHAnsi" w:eastAsiaTheme="minorEastAsia" w:cstheme="minorBidi"/>
      <w:kern w:val="2"/>
      <w:sz w:val="18"/>
      <w:szCs w:val="18"/>
    </w:rPr>
  </w:style>
  <w:style w:type="paragraph" w:styleId="11">
    <w:name w:val="header"/>
    <w:basedOn w:val="1"/>
    <w:next w:val="1"/>
    <w:link w:val="21"/>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2">
    <w:name w:val="toc 1"/>
    <w:basedOn w:val="1"/>
    <w:next w:val="1"/>
    <w:autoRedefine/>
    <w:qFormat/>
    <w:uiPriority w:val="39"/>
    <w:pPr>
      <w:spacing w:before="120" w:after="120"/>
      <w:jc w:val="left"/>
    </w:pPr>
    <w:rPr>
      <w:rFonts w:ascii="Calibri" w:hAnsi="Calibri"/>
      <w:b/>
      <w:bCs/>
      <w:caps/>
      <w:sz w:val="20"/>
      <w:szCs w:val="20"/>
    </w:rPr>
  </w:style>
  <w:style w:type="paragraph" w:styleId="13">
    <w:name w:val="Subtitle"/>
    <w:basedOn w:val="1"/>
    <w:next w:val="1"/>
    <w:autoRedefine/>
    <w:qFormat/>
    <w:uiPriority w:val="0"/>
    <w:pPr>
      <w:spacing w:before="120" w:after="120"/>
      <w:jc w:val="left"/>
      <w:outlineLvl w:val="1"/>
    </w:pPr>
    <w:rPr>
      <w:rFonts w:eastAsia="黑体"/>
      <w:b/>
      <w:bCs/>
      <w:kern w:val="28"/>
      <w:sz w:val="28"/>
      <w:szCs w:val="32"/>
    </w:rPr>
  </w:style>
  <w:style w:type="paragraph" w:styleId="14">
    <w:name w:val="Normal (Web)"/>
    <w:basedOn w:val="1"/>
    <w:autoRedefine/>
    <w:semiHidden/>
    <w:unhideWhenUsed/>
    <w:qFormat/>
    <w:uiPriority w:val="99"/>
    <w:rPr>
      <w:rFonts w:ascii="Times New Roman"/>
    </w:rPr>
  </w:style>
  <w:style w:type="table" w:styleId="16">
    <w:name w:val="Table Grid"/>
    <w:basedOn w:val="1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llowedHyperlink"/>
    <w:basedOn w:val="17"/>
    <w:autoRedefine/>
    <w:semiHidden/>
    <w:unhideWhenUsed/>
    <w:qFormat/>
    <w:uiPriority w:val="99"/>
    <w:rPr>
      <w:color w:val="632500"/>
      <w:u w:val="none"/>
    </w:rPr>
  </w:style>
  <w:style w:type="character" w:styleId="19">
    <w:name w:val="Hyperlink"/>
    <w:basedOn w:val="17"/>
    <w:autoRedefine/>
    <w:unhideWhenUsed/>
    <w:qFormat/>
    <w:uiPriority w:val="99"/>
    <w:rPr>
      <w:color w:val="0000FF" w:themeColor="hyperlink"/>
      <w:u w:val="single"/>
      <w14:textFill>
        <w14:solidFill>
          <w14:schemeClr w14:val="hlink"/>
        </w14:solidFill>
      </w14:textFill>
    </w:rPr>
  </w:style>
  <w:style w:type="paragraph" w:customStyle="1" w:styleId="20">
    <w:name w:val="样式 正文缩进正文缩进2正文缩进 Char Char正文缩进 Char Char Char Char正文缩进 Char ..."/>
    <w:basedOn w:val="5"/>
    <w:next w:val="1"/>
    <w:autoRedefine/>
    <w:qFormat/>
    <w:uiPriority w:val="0"/>
    <w:pPr>
      <w:spacing w:after="120" w:line="360" w:lineRule="auto"/>
      <w:ind w:firstLine="200"/>
    </w:pPr>
    <w:rPr>
      <w:rFonts w:ascii="Times New Roman" w:cs="宋体"/>
      <w:kern w:val="2"/>
      <w:szCs w:val="20"/>
    </w:rPr>
  </w:style>
  <w:style w:type="character" w:customStyle="1" w:styleId="21">
    <w:name w:val="页眉 字符"/>
    <w:basedOn w:val="17"/>
    <w:link w:val="11"/>
    <w:autoRedefine/>
    <w:qFormat/>
    <w:uiPriority w:val="99"/>
    <w:rPr>
      <w:sz w:val="18"/>
      <w:szCs w:val="18"/>
    </w:rPr>
  </w:style>
  <w:style w:type="character" w:customStyle="1" w:styleId="22">
    <w:name w:val="页脚 字符"/>
    <w:basedOn w:val="17"/>
    <w:link w:val="10"/>
    <w:autoRedefine/>
    <w:qFormat/>
    <w:uiPriority w:val="99"/>
    <w:rPr>
      <w:sz w:val="18"/>
      <w:szCs w:val="18"/>
    </w:rPr>
  </w:style>
  <w:style w:type="paragraph" w:styleId="23">
    <w:name w:val="List Paragraph"/>
    <w:basedOn w:val="1"/>
    <w:autoRedefine/>
    <w:qFormat/>
    <w:uiPriority w:val="34"/>
    <w:pPr>
      <w:ind w:firstLine="420" w:firstLineChars="200"/>
    </w:pPr>
  </w:style>
  <w:style w:type="character" w:customStyle="1" w:styleId="24">
    <w:name w:val="批注框文本 字符"/>
    <w:basedOn w:val="17"/>
    <w:link w:val="9"/>
    <w:autoRedefine/>
    <w:semiHidden/>
    <w:qFormat/>
    <w:uiPriority w:val="99"/>
    <w:rPr>
      <w:rFonts w:ascii="宋体" w:hAnsi="Times New Roman" w:eastAsia="宋体" w:cs="Times New Roman"/>
      <w:kern w:val="0"/>
      <w:sz w:val="18"/>
      <w:szCs w:val="18"/>
    </w:rPr>
  </w:style>
  <w:style w:type="character" w:customStyle="1" w:styleId="25">
    <w:name w:val="4 Char Char"/>
    <w:link w:val="26"/>
    <w:autoRedefine/>
    <w:qFormat/>
    <w:uiPriority w:val="0"/>
  </w:style>
  <w:style w:type="paragraph" w:customStyle="1" w:styleId="26">
    <w:name w:val="4"/>
    <w:basedOn w:val="1"/>
    <w:link w:val="25"/>
    <w:autoRedefine/>
    <w:qFormat/>
    <w:uiPriority w:val="0"/>
  </w:style>
  <w:style w:type="character" w:customStyle="1" w:styleId="27">
    <w:name w:val="未处理的提及1"/>
    <w:basedOn w:val="17"/>
    <w:autoRedefine/>
    <w:semiHidden/>
    <w:unhideWhenUsed/>
    <w:qFormat/>
    <w:uiPriority w:val="99"/>
    <w:rPr>
      <w:color w:val="605E5C"/>
      <w:shd w:val="clear" w:color="auto" w:fill="E1DFDD"/>
    </w:rPr>
  </w:style>
  <w:style w:type="character" w:customStyle="1" w:styleId="28">
    <w:name w:val="2-正文 Char"/>
    <w:link w:val="29"/>
    <w:autoRedefine/>
    <w:qFormat/>
    <w:uiPriority w:val="0"/>
    <w:rPr>
      <w:rFonts w:ascii="宋体" w:hAnsi="宋体"/>
      <w:sz w:val="24"/>
      <w:szCs w:val="24"/>
    </w:rPr>
  </w:style>
  <w:style w:type="paragraph" w:customStyle="1" w:styleId="29">
    <w:name w:val="2-正文"/>
    <w:basedOn w:val="1"/>
    <w:link w:val="28"/>
    <w:autoRedefine/>
    <w:qFormat/>
    <w:uiPriority w:val="0"/>
    <w:pPr>
      <w:spacing w:line="480" w:lineRule="exact"/>
      <w:ind w:firstLine="480" w:firstLineChars="200"/>
    </w:pPr>
    <w:rPr>
      <w:rFonts w:hAnsi="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373A5-28B1-4A20-AA6E-71A6BCB94B5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Pages>
  <Words>6143</Words>
  <Characters>6723</Characters>
  <Lines>58</Lines>
  <Paragraphs>16</Paragraphs>
  <TotalTime>1</TotalTime>
  <ScaleCrop>false</ScaleCrop>
  <LinksUpToDate>false</LinksUpToDate>
  <CharactersWithSpaces>6857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2019-02-25T02:44:00Z</dcterms:created>
  <dc:creator>Administrator</dc:creator>
  <cp:lastModifiedBy>张立勤</cp:lastModifiedBy>
  <dcterms:modified xsi:type="dcterms:W3CDTF">2024-01-03T16:39:40Z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DAECF5C335CF4D31B29DB15D877A3ED7</vt:lpwstr>
  </property>
</Properties>
</file>